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F915B2" w14:textId="6355BB50" w:rsidR="00C77B7C" w:rsidRDefault="00C77B7C" w:rsidP="00A63123">
      <w:pPr>
        <w:spacing w:after="0" w:line="240" w:lineRule="auto"/>
        <w:jc w:val="center"/>
        <w:rPr>
          <w:rFonts w:ascii="Calibri" w:hAnsi="Calibri" w:cs="Calibri"/>
          <w:b/>
          <w:color w:val="800000"/>
          <w:sz w:val="28"/>
          <w:szCs w:val="28"/>
          <w:shd w:val="clear" w:color="auto" w:fill="FFFFFF"/>
          <w:lang w:val="es-ES"/>
        </w:rPr>
      </w:pPr>
      <w:r>
        <w:rPr>
          <w:rFonts w:ascii="Calibri" w:hAnsi="Calibri" w:cs="Calibri"/>
          <w:b/>
          <w:color w:val="800000"/>
          <w:sz w:val="28"/>
          <w:szCs w:val="28"/>
          <w:shd w:val="clear" w:color="auto" w:fill="FFFFFF"/>
          <w:lang w:val="es-ES"/>
        </w:rPr>
        <w:t>RESUMO DA CONFERÊNCIA</w:t>
      </w:r>
    </w:p>
    <w:p w14:paraId="6540003B" w14:textId="77777777" w:rsidR="00C77B7C" w:rsidRDefault="00C77B7C" w:rsidP="00A63123">
      <w:pPr>
        <w:spacing w:after="0" w:line="240" w:lineRule="auto"/>
        <w:jc w:val="center"/>
        <w:rPr>
          <w:rFonts w:ascii="Calibri" w:hAnsi="Calibri" w:cs="Calibri"/>
          <w:b/>
          <w:color w:val="800000"/>
          <w:sz w:val="28"/>
          <w:szCs w:val="28"/>
          <w:shd w:val="clear" w:color="auto" w:fill="FFFFFF"/>
          <w:lang w:val="es-ES"/>
        </w:rPr>
      </w:pPr>
      <w:bookmarkStart w:id="0" w:name="_GoBack"/>
      <w:bookmarkEnd w:id="0"/>
    </w:p>
    <w:p w14:paraId="73A7E70B" w14:textId="29A1AD4F" w:rsidR="001911B1" w:rsidRPr="00C77B7C" w:rsidRDefault="00556954" w:rsidP="00A63123">
      <w:pPr>
        <w:spacing w:after="0" w:line="240" w:lineRule="auto"/>
        <w:jc w:val="center"/>
        <w:rPr>
          <w:rFonts w:ascii="Calibri" w:hAnsi="Calibri" w:cs="Calibri"/>
          <w:b/>
          <w:color w:val="800000"/>
          <w:sz w:val="28"/>
          <w:szCs w:val="28"/>
          <w:shd w:val="clear" w:color="auto" w:fill="FFFFFF"/>
          <w:lang w:val="es-ES"/>
        </w:rPr>
      </w:pPr>
      <w:r w:rsidRPr="00C77B7C">
        <w:rPr>
          <w:rFonts w:ascii="Calibri" w:hAnsi="Calibri" w:cs="Calibri"/>
          <w:b/>
          <w:color w:val="800000"/>
          <w:sz w:val="28"/>
          <w:szCs w:val="28"/>
          <w:shd w:val="clear" w:color="auto" w:fill="FFFFFF"/>
          <w:lang w:val="es-ES"/>
        </w:rPr>
        <w:t>"Génesis, Incepción y Biografía en un Gran Megalito del Patrimonio Mundial: Una Aproximación Multidisciplinar a la Cronología del Dolmen de Menga (Antequera)"</w:t>
      </w:r>
    </w:p>
    <w:p w14:paraId="3A827CF3" w14:textId="3B005A88" w:rsidR="00A63123" w:rsidRPr="00C77B7C" w:rsidRDefault="00A63123" w:rsidP="00556954">
      <w:pPr>
        <w:spacing w:after="0" w:line="240" w:lineRule="auto"/>
        <w:jc w:val="both"/>
        <w:rPr>
          <w:rFonts w:ascii="Calibri" w:hAnsi="Calibri" w:cs="Calibri"/>
          <w:b/>
          <w:color w:val="800000"/>
          <w:sz w:val="28"/>
          <w:szCs w:val="28"/>
          <w:shd w:val="clear" w:color="auto" w:fill="FFFFFF"/>
          <w:lang w:val="es-ES"/>
        </w:rPr>
      </w:pPr>
    </w:p>
    <w:p w14:paraId="179DEE99" w14:textId="6DF0E7D1" w:rsidR="00A63123" w:rsidRPr="00C77B7C" w:rsidRDefault="00A63123" w:rsidP="00A63123">
      <w:pPr>
        <w:spacing w:after="0" w:line="240" w:lineRule="auto"/>
        <w:jc w:val="center"/>
        <w:rPr>
          <w:rFonts w:ascii="Calibri" w:hAnsi="Calibri" w:cs="Calibri"/>
          <w:b/>
          <w:color w:val="800000"/>
          <w:sz w:val="28"/>
          <w:szCs w:val="28"/>
          <w:shd w:val="clear" w:color="auto" w:fill="FFFFFF"/>
          <w:lang w:val="es-ES"/>
        </w:rPr>
      </w:pPr>
      <w:r w:rsidRPr="00C77B7C">
        <w:rPr>
          <w:rFonts w:ascii="Calibri" w:hAnsi="Calibri" w:cs="Calibri"/>
          <w:b/>
          <w:color w:val="800000"/>
          <w:sz w:val="28"/>
          <w:szCs w:val="28"/>
          <w:shd w:val="clear" w:color="auto" w:fill="FFFFFF"/>
          <w:lang w:val="es-ES"/>
        </w:rPr>
        <w:t>Leonardo García Sanjuán</w:t>
      </w:r>
    </w:p>
    <w:p w14:paraId="4DFA2201" w14:textId="0FF75B8E" w:rsidR="00A63123" w:rsidRPr="00C77B7C" w:rsidRDefault="00A63123" w:rsidP="00556954">
      <w:pPr>
        <w:spacing w:after="0" w:line="240" w:lineRule="auto"/>
        <w:jc w:val="both"/>
        <w:rPr>
          <w:rFonts w:ascii="Calibri" w:hAnsi="Calibri" w:cs="Calibri"/>
          <w:color w:val="000000"/>
          <w:sz w:val="28"/>
          <w:szCs w:val="28"/>
          <w:shd w:val="clear" w:color="auto" w:fill="FFFFFF"/>
          <w:lang w:val="es-ES"/>
        </w:rPr>
      </w:pPr>
    </w:p>
    <w:p w14:paraId="1F800C3D" w14:textId="15BEEF11" w:rsidR="00A63123" w:rsidRPr="00C77B7C" w:rsidRDefault="00A63123" w:rsidP="00556954">
      <w:pPr>
        <w:spacing w:after="0" w:line="240" w:lineRule="auto"/>
        <w:jc w:val="both"/>
        <w:rPr>
          <w:sz w:val="28"/>
          <w:szCs w:val="28"/>
          <w:lang w:val="es-ES"/>
        </w:rPr>
      </w:pPr>
    </w:p>
    <w:p w14:paraId="58E62682" w14:textId="453C4052" w:rsidR="00A63123" w:rsidRPr="00C77B7C" w:rsidRDefault="0093384E" w:rsidP="00556954">
      <w:pPr>
        <w:spacing w:after="0" w:line="240" w:lineRule="auto"/>
        <w:jc w:val="both"/>
        <w:rPr>
          <w:sz w:val="28"/>
          <w:szCs w:val="28"/>
          <w:lang w:val="es-ES"/>
        </w:rPr>
      </w:pPr>
      <w:r w:rsidRPr="00C77B7C">
        <w:rPr>
          <w:sz w:val="28"/>
          <w:szCs w:val="28"/>
          <w:lang w:val="es-ES"/>
        </w:rPr>
        <w:t>Tras su inclusión en la Lista de Patrimonio Mundial de UNESCO en julio de 2016, el conjunto megalítico de Antequera (Málaga, España) pasó a convertirse en uno de los sitios de referencia de la Prehistoria española, junto con Altamira y Atapuerca. Tanto por su escala constructiva, como por su diseño arquitectónico o su dimensión paisajística, e</w:t>
      </w:r>
      <w:r w:rsidR="00A63123" w:rsidRPr="00C77B7C">
        <w:rPr>
          <w:sz w:val="28"/>
          <w:szCs w:val="28"/>
          <w:lang w:val="es-ES"/>
        </w:rPr>
        <w:t>l dolmen de Menga</w:t>
      </w:r>
      <w:r w:rsidRPr="00C77B7C">
        <w:rPr>
          <w:sz w:val="28"/>
          <w:szCs w:val="28"/>
          <w:lang w:val="es-ES"/>
        </w:rPr>
        <w:t>, verdadero ‘buque insignia’ del sitio antequerano,</w:t>
      </w:r>
      <w:r w:rsidR="00A63123" w:rsidRPr="00C77B7C">
        <w:rPr>
          <w:sz w:val="28"/>
          <w:szCs w:val="28"/>
          <w:lang w:val="es-ES"/>
        </w:rPr>
        <w:t xml:space="preserve"> es una de las construcciones megalíticas más extraordinarias del continente europeo</w:t>
      </w:r>
      <w:r w:rsidRPr="00C77B7C">
        <w:rPr>
          <w:sz w:val="28"/>
          <w:szCs w:val="28"/>
          <w:lang w:val="es-ES"/>
        </w:rPr>
        <w:t>, expresión y testimonio material del genio creativo y de la habilidad técnica de las sociedades neolíticas.</w:t>
      </w:r>
      <w:r w:rsidR="00A63123" w:rsidRPr="00C77B7C">
        <w:rPr>
          <w:sz w:val="28"/>
          <w:szCs w:val="28"/>
          <w:lang w:val="es-ES"/>
        </w:rPr>
        <w:t xml:space="preserve"> Y, sin embargo, hasta muy recientemente, el dolmen de Menga ha sido un gran desconocido</w:t>
      </w:r>
      <w:r w:rsidRPr="00C77B7C">
        <w:rPr>
          <w:sz w:val="28"/>
          <w:szCs w:val="28"/>
          <w:lang w:val="es-ES"/>
        </w:rPr>
        <w:t xml:space="preserve"> para la ciencia</w:t>
      </w:r>
      <w:r w:rsidR="00A63123" w:rsidRPr="00C77B7C">
        <w:rPr>
          <w:sz w:val="28"/>
          <w:szCs w:val="28"/>
          <w:lang w:val="es-ES"/>
        </w:rPr>
        <w:t>. La enormidad de este vacío científico queda bien reflejada en el hecho de que a la altura de 2006 no se había obtenido ni una sola datación radiocarbónica que permitirá establecer su temporalidad como monumento. En esta conferencia se expondrá el trabajo realizado entre 2014 y 2021</w:t>
      </w:r>
      <w:r w:rsidRPr="00C77B7C">
        <w:rPr>
          <w:sz w:val="28"/>
          <w:szCs w:val="28"/>
          <w:lang w:val="es-ES"/>
        </w:rPr>
        <w:t>,</w:t>
      </w:r>
      <w:r w:rsidR="00A63123" w:rsidRPr="00C77B7C">
        <w:rPr>
          <w:sz w:val="28"/>
          <w:szCs w:val="28"/>
          <w:lang w:val="es-ES"/>
        </w:rPr>
        <w:t xml:space="preserve"> a través de dos proyectos del Plan Nacional de I+D del gobierno de España,</w:t>
      </w:r>
      <w:r w:rsidRPr="00C77B7C">
        <w:rPr>
          <w:sz w:val="28"/>
          <w:szCs w:val="28"/>
          <w:lang w:val="es-ES"/>
        </w:rPr>
        <w:t xml:space="preserve"> de cara a establecer una base cronométrica sólida que permita conocer la historia de Menga. En los últimos ocho años se han obtenido y publicado 61 dataciones numéricas </w:t>
      </w:r>
      <w:r w:rsidR="00731E1F" w:rsidRPr="00C77B7C">
        <w:rPr>
          <w:sz w:val="28"/>
          <w:szCs w:val="28"/>
          <w:lang w:val="es-ES"/>
        </w:rPr>
        <w:t>de este monumento, incluyendo 52 dataciones radiocarbónicas y 9 dataciones de OSL de muestras de sedimentos y de cerámica, además de varias decenas de dataciones de sitios arqueológicos asociados, ubicados en la vega de Antequera. Con esta base cronométrica, que es la más amplia actualmente disponible para cualquier monumento megalítico de la península ibérica, es posible, por primera vez, empezar a comprender el contexto social y cultural en el que se dieron la génesis e incepción de este gran dolmen, así como la extraordinaria biografía que tuvo ulteriormente.</w:t>
      </w:r>
    </w:p>
    <w:p w14:paraId="2889AEE5" w14:textId="450754BE" w:rsidR="0093384E" w:rsidRDefault="0093384E" w:rsidP="00556954">
      <w:pPr>
        <w:spacing w:after="0" w:line="240" w:lineRule="auto"/>
        <w:jc w:val="both"/>
        <w:rPr>
          <w:lang w:val="es-ES"/>
        </w:rPr>
      </w:pPr>
    </w:p>
    <w:p w14:paraId="454AD6CA" w14:textId="77777777" w:rsidR="0093384E" w:rsidRPr="00556954" w:rsidRDefault="0093384E" w:rsidP="00556954">
      <w:pPr>
        <w:spacing w:after="0" w:line="240" w:lineRule="auto"/>
        <w:jc w:val="both"/>
        <w:rPr>
          <w:lang w:val="es-ES"/>
        </w:rPr>
      </w:pPr>
    </w:p>
    <w:sectPr w:rsidR="0093384E" w:rsidRPr="0055695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00002A87" w:usb1="80000000" w:usb2="00000008" w:usb3="00000000" w:csb0="000001FF" w:csb1="00000000"/>
  </w:font>
  <w:font w:name="Arial">
    <w:panose1 w:val="020B0604020202020204"/>
    <w:charset w:val="00"/>
    <w:family w:val="auto"/>
    <w:pitch w:val="variable"/>
    <w:sig w:usb0="00002A87" w:usb1="80000000" w:usb2="00000008" w:usb3="00000000" w:csb0="000001FF" w:csb1="00000000"/>
  </w:font>
  <w:font w:name="游ゴシック Light">
    <w:panose1 w:val="00000000000000000000"/>
    <w:charset w:val="80"/>
    <w:family w:val="roman"/>
    <w:notTrueType/>
    <w:pitch w:val="default"/>
  </w:font>
  <w:font w:name="Calibri Light">
    <w:altName w:val="Tahoma Bold"/>
    <w:charset w:val="00"/>
    <w:family w:val="swiss"/>
    <w:pitch w:val="variable"/>
    <w:sig w:usb0="E4002EFF" w:usb1="C000247B" w:usb2="00000009" w:usb3="00000000" w:csb0="000001FF" w:csb1="00000000"/>
  </w:font>
  <w:font w:name="游明朝">
    <w:panose1 w:val="00000000000000000000"/>
    <w:charset w:val="8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6954"/>
    <w:rsid w:val="001911B1"/>
    <w:rsid w:val="00556954"/>
    <w:rsid w:val="00731E1F"/>
    <w:rsid w:val="0093384E"/>
    <w:rsid w:val="00A63123"/>
    <w:rsid w:val="00C77B7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5D24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301</Words>
  <Characters>1718</Characters>
  <Application>Microsoft Macintosh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García Sanjuán</dc:creator>
  <cp:keywords/>
  <dc:description/>
  <cp:lastModifiedBy>/ /</cp:lastModifiedBy>
  <cp:revision>3</cp:revision>
  <dcterms:created xsi:type="dcterms:W3CDTF">2022-01-25T14:42:00Z</dcterms:created>
  <dcterms:modified xsi:type="dcterms:W3CDTF">2022-01-26T12:20:00Z</dcterms:modified>
</cp:coreProperties>
</file>