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7A9A5" w14:textId="3B3F63C6" w:rsidR="00481EE9" w:rsidRPr="002936E9" w:rsidRDefault="00481EE9" w:rsidP="002936E9">
      <w:pPr>
        <w:jc w:val="both"/>
        <w:rPr>
          <w:rFonts w:ascii="Century Gothic" w:hAnsi="Century Gothic"/>
          <w:color w:val="595959"/>
          <w:sz w:val="24"/>
          <w:szCs w:val="24"/>
        </w:rPr>
      </w:pPr>
      <w:r w:rsidRPr="002936E9">
        <w:rPr>
          <w:rFonts w:ascii="Century Gothic" w:hAnsi="Century Gothic"/>
          <w:color w:val="595959"/>
          <w:sz w:val="24"/>
          <w:szCs w:val="24"/>
        </w:rPr>
        <w:t xml:space="preserve">As Ruínas Romanas de Tróia </w:t>
      </w:r>
      <w:r w:rsidRPr="002936E9">
        <w:rPr>
          <w:rFonts w:ascii="Century Gothic" w:hAnsi="Century Gothic"/>
          <w:color w:val="595959"/>
          <w:sz w:val="24"/>
          <w:szCs w:val="24"/>
        </w:rPr>
        <w:t>têm um elevado</w:t>
      </w:r>
      <w:r w:rsidRPr="002936E9">
        <w:rPr>
          <w:rFonts w:ascii="Century Gothic" w:hAnsi="Century Gothic"/>
          <w:color w:val="595959"/>
          <w:sz w:val="24"/>
          <w:szCs w:val="24"/>
        </w:rPr>
        <w:t xml:space="preserve"> potencial científico,</w:t>
      </w:r>
      <w:r w:rsidRPr="002936E9">
        <w:rPr>
          <w:rFonts w:ascii="Century Gothic" w:hAnsi="Century Gothic"/>
          <w:color w:val="595959"/>
          <w:sz w:val="24"/>
          <w:szCs w:val="24"/>
        </w:rPr>
        <w:t xml:space="preserve"> não apenas pelo monumento em si,</w:t>
      </w:r>
      <w:r w:rsidRPr="002936E9">
        <w:rPr>
          <w:rFonts w:ascii="Century Gothic" w:hAnsi="Century Gothic"/>
          <w:color w:val="595959"/>
          <w:sz w:val="24"/>
          <w:szCs w:val="24"/>
        </w:rPr>
        <w:t xml:space="preserve"> mas também </w:t>
      </w:r>
      <w:r w:rsidRPr="002936E9">
        <w:rPr>
          <w:rFonts w:ascii="Century Gothic" w:hAnsi="Century Gothic"/>
          <w:color w:val="595959"/>
          <w:sz w:val="24"/>
          <w:szCs w:val="24"/>
        </w:rPr>
        <w:t xml:space="preserve">por constituírem um </w:t>
      </w:r>
      <w:r w:rsidR="0085418F" w:rsidRPr="002936E9">
        <w:rPr>
          <w:rFonts w:ascii="Century Gothic" w:hAnsi="Century Gothic"/>
          <w:color w:val="595959"/>
          <w:sz w:val="24"/>
          <w:szCs w:val="24"/>
        </w:rPr>
        <w:t xml:space="preserve">precioso </w:t>
      </w:r>
      <w:r w:rsidRPr="002936E9">
        <w:rPr>
          <w:rFonts w:ascii="Century Gothic" w:hAnsi="Century Gothic"/>
          <w:color w:val="595959"/>
          <w:sz w:val="24"/>
          <w:szCs w:val="24"/>
        </w:rPr>
        <w:t>manancial de informação relativamente à história da ciência</w:t>
      </w:r>
      <w:r w:rsidR="0085418F" w:rsidRPr="002936E9">
        <w:rPr>
          <w:rFonts w:ascii="Century Gothic" w:hAnsi="Century Gothic"/>
          <w:color w:val="595959"/>
          <w:sz w:val="24"/>
          <w:szCs w:val="24"/>
        </w:rPr>
        <w:t>.</w:t>
      </w:r>
      <w:r w:rsidRPr="002936E9">
        <w:rPr>
          <w:rFonts w:ascii="Century Gothic" w:hAnsi="Century Gothic"/>
          <w:color w:val="595959"/>
          <w:sz w:val="24"/>
          <w:szCs w:val="24"/>
        </w:rPr>
        <w:t xml:space="preserve"> </w:t>
      </w:r>
      <w:r w:rsidR="00952A22" w:rsidRPr="002936E9">
        <w:rPr>
          <w:rFonts w:ascii="Century Gothic" w:hAnsi="Century Gothic"/>
          <w:color w:val="595959"/>
          <w:sz w:val="24"/>
          <w:szCs w:val="24"/>
        </w:rPr>
        <w:t>São c</w:t>
      </w:r>
      <w:r w:rsidRPr="002936E9">
        <w:rPr>
          <w:rFonts w:ascii="Century Gothic" w:hAnsi="Century Gothic"/>
          <w:color w:val="595959"/>
          <w:sz w:val="24"/>
          <w:szCs w:val="24"/>
        </w:rPr>
        <w:t>onsideradas</w:t>
      </w:r>
      <w:r w:rsidR="0085418F" w:rsidRPr="002936E9">
        <w:rPr>
          <w:rFonts w:ascii="Century Gothic" w:hAnsi="Century Gothic"/>
          <w:color w:val="595959"/>
          <w:sz w:val="24"/>
          <w:szCs w:val="24"/>
        </w:rPr>
        <w:t xml:space="preserve"> como</w:t>
      </w:r>
      <w:r w:rsidRPr="002936E9">
        <w:rPr>
          <w:rFonts w:ascii="Century Gothic" w:hAnsi="Century Gothic"/>
          <w:color w:val="595959"/>
          <w:sz w:val="24"/>
          <w:szCs w:val="24"/>
        </w:rPr>
        <w:t xml:space="preserve"> um dos </w:t>
      </w:r>
      <w:r w:rsidRPr="002936E9">
        <w:rPr>
          <w:rFonts w:ascii="Century Gothic" w:hAnsi="Century Gothic"/>
          <w:color w:val="595959"/>
          <w:sz w:val="24"/>
          <w:szCs w:val="24"/>
        </w:rPr>
        <w:t>primeir</w:t>
      </w:r>
      <w:r w:rsidRPr="002936E9">
        <w:rPr>
          <w:rFonts w:ascii="Century Gothic" w:hAnsi="Century Gothic"/>
          <w:color w:val="595959"/>
          <w:sz w:val="24"/>
          <w:szCs w:val="24"/>
        </w:rPr>
        <w:t>o</w:t>
      </w:r>
      <w:r w:rsidRPr="002936E9">
        <w:rPr>
          <w:rFonts w:ascii="Century Gothic" w:hAnsi="Century Gothic"/>
          <w:color w:val="595959"/>
          <w:sz w:val="24"/>
          <w:szCs w:val="24"/>
        </w:rPr>
        <w:t xml:space="preserve">s </w:t>
      </w:r>
      <w:r w:rsidRPr="002936E9">
        <w:rPr>
          <w:rFonts w:ascii="Century Gothic" w:hAnsi="Century Gothic"/>
          <w:color w:val="595959"/>
          <w:sz w:val="24"/>
          <w:szCs w:val="24"/>
        </w:rPr>
        <w:t>sítios</w:t>
      </w:r>
      <w:r w:rsidRPr="002936E9">
        <w:rPr>
          <w:rFonts w:ascii="Century Gothic" w:hAnsi="Century Gothic"/>
          <w:color w:val="595959"/>
          <w:sz w:val="24"/>
          <w:szCs w:val="24"/>
        </w:rPr>
        <w:t xml:space="preserve"> a ser</w:t>
      </w:r>
      <w:r w:rsidRPr="002936E9">
        <w:rPr>
          <w:rFonts w:ascii="Century Gothic" w:hAnsi="Century Gothic"/>
          <w:color w:val="595959"/>
          <w:sz w:val="24"/>
          <w:szCs w:val="24"/>
        </w:rPr>
        <w:t xml:space="preserve"> </w:t>
      </w:r>
      <w:r w:rsidRPr="002936E9">
        <w:rPr>
          <w:rFonts w:ascii="Century Gothic" w:hAnsi="Century Gothic"/>
          <w:color w:val="595959"/>
          <w:sz w:val="24"/>
          <w:szCs w:val="24"/>
        </w:rPr>
        <w:t>escavad</w:t>
      </w:r>
      <w:r w:rsidRPr="002936E9">
        <w:rPr>
          <w:rFonts w:ascii="Century Gothic" w:hAnsi="Century Gothic"/>
          <w:color w:val="595959"/>
          <w:sz w:val="24"/>
          <w:szCs w:val="24"/>
        </w:rPr>
        <w:t>o</w:t>
      </w:r>
      <w:r w:rsidRPr="002936E9">
        <w:rPr>
          <w:rFonts w:ascii="Century Gothic" w:hAnsi="Century Gothic"/>
          <w:color w:val="595959"/>
          <w:sz w:val="24"/>
          <w:szCs w:val="24"/>
        </w:rPr>
        <w:t>s em Portugal</w:t>
      </w:r>
      <w:r w:rsidR="0085418F" w:rsidRPr="002936E9">
        <w:rPr>
          <w:rFonts w:ascii="Century Gothic" w:hAnsi="Century Gothic"/>
          <w:color w:val="595959"/>
          <w:sz w:val="24"/>
          <w:szCs w:val="24"/>
        </w:rPr>
        <w:t xml:space="preserve">, para a qual foi fundada uma sociedade privada </w:t>
      </w:r>
      <w:r w:rsidR="002936E9">
        <w:rPr>
          <w:rFonts w:ascii="Century Gothic" w:hAnsi="Century Gothic"/>
          <w:color w:val="595959"/>
          <w:sz w:val="24"/>
          <w:szCs w:val="24"/>
        </w:rPr>
        <w:t xml:space="preserve">de investigação </w:t>
      </w:r>
      <w:r w:rsidR="0085418F" w:rsidRPr="002936E9">
        <w:rPr>
          <w:rFonts w:ascii="Century Gothic" w:hAnsi="Century Gothic"/>
          <w:color w:val="595959"/>
          <w:sz w:val="24"/>
          <w:szCs w:val="24"/>
        </w:rPr>
        <w:t>ainda em 1849, a Sociedade Arqueológica Lusitana. A sua precoce</w:t>
      </w:r>
      <w:r w:rsidRPr="002936E9">
        <w:rPr>
          <w:rFonts w:ascii="Century Gothic" w:hAnsi="Century Gothic"/>
          <w:color w:val="595959"/>
          <w:sz w:val="24"/>
          <w:szCs w:val="24"/>
        </w:rPr>
        <w:t xml:space="preserve"> classificação como Monumento Nacional</w:t>
      </w:r>
      <w:r w:rsidR="0041765D" w:rsidRPr="002936E9">
        <w:rPr>
          <w:rFonts w:ascii="Century Gothic" w:hAnsi="Century Gothic"/>
          <w:color w:val="595959"/>
          <w:sz w:val="24"/>
          <w:szCs w:val="24"/>
        </w:rPr>
        <w:t>,</w:t>
      </w:r>
      <w:r w:rsidRPr="002936E9">
        <w:rPr>
          <w:rFonts w:ascii="Century Gothic" w:hAnsi="Century Gothic"/>
          <w:color w:val="595959"/>
          <w:sz w:val="24"/>
          <w:szCs w:val="24"/>
        </w:rPr>
        <w:t xml:space="preserve"> logo </w:t>
      </w:r>
      <w:r w:rsidR="000D2120" w:rsidRPr="002936E9">
        <w:rPr>
          <w:rFonts w:ascii="Century Gothic" w:hAnsi="Century Gothic"/>
          <w:color w:val="595959"/>
          <w:sz w:val="24"/>
          <w:szCs w:val="24"/>
        </w:rPr>
        <w:t>a 16 de Junho de</w:t>
      </w:r>
      <w:r w:rsidRPr="002936E9">
        <w:rPr>
          <w:rFonts w:ascii="Century Gothic" w:hAnsi="Century Gothic"/>
          <w:color w:val="595959"/>
          <w:sz w:val="24"/>
          <w:szCs w:val="24"/>
        </w:rPr>
        <w:t xml:space="preserve"> 1910</w:t>
      </w:r>
      <w:r w:rsidR="0041765D" w:rsidRPr="002936E9">
        <w:rPr>
          <w:rFonts w:ascii="Century Gothic" w:hAnsi="Century Gothic"/>
          <w:color w:val="595959"/>
          <w:sz w:val="24"/>
          <w:szCs w:val="24"/>
        </w:rPr>
        <w:t>,</w:t>
      </w:r>
      <w:r w:rsidR="0085418F" w:rsidRPr="002936E9">
        <w:rPr>
          <w:rFonts w:ascii="Century Gothic" w:hAnsi="Century Gothic"/>
          <w:color w:val="595959"/>
          <w:sz w:val="24"/>
          <w:szCs w:val="24"/>
        </w:rPr>
        <w:t xml:space="preserve"> e a recente inclusão na Lista Indicativa do Património Mundial, em 2016, constituem provas irrefutáveis do valor nacional e internacional deste sítio</w:t>
      </w:r>
      <w:r w:rsidR="0041765D" w:rsidRPr="002936E9">
        <w:rPr>
          <w:rFonts w:ascii="Century Gothic" w:hAnsi="Century Gothic"/>
          <w:color w:val="595959"/>
          <w:sz w:val="24"/>
          <w:szCs w:val="24"/>
        </w:rPr>
        <w:t xml:space="preserve"> arqueológico</w:t>
      </w:r>
      <w:r w:rsidR="0085418F" w:rsidRPr="002936E9">
        <w:rPr>
          <w:rFonts w:ascii="Century Gothic" w:hAnsi="Century Gothic"/>
          <w:color w:val="595959"/>
          <w:sz w:val="24"/>
          <w:szCs w:val="24"/>
        </w:rPr>
        <w:t xml:space="preserve"> sem paralelo</w:t>
      </w:r>
      <w:r w:rsidRPr="002936E9">
        <w:rPr>
          <w:rFonts w:ascii="Century Gothic" w:hAnsi="Century Gothic"/>
          <w:color w:val="595959"/>
          <w:sz w:val="24"/>
          <w:szCs w:val="24"/>
        </w:rPr>
        <w:t>.</w:t>
      </w:r>
    </w:p>
    <w:p w14:paraId="56102752" w14:textId="24F50EBF" w:rsidR="0085418F" w:rsidRPr="002936E9" w:rsidRDefault="000D2120" w:rsidP="002936E9">
      <w:pPr>
        <w:jc w:val="both"/>
        <w:rPr>
          <w:rFonts w:ascii="Century Gothic" w:hAnsi="Century Gothic"/>
          <w:color w:val="595959"/>
          <w:sz w:val="24"/>
          <w:szCs w:val="24"/>
        </w:rPr>
      </w:pPr>
      <w:r w:rsidRPr="002936E9">
        <w:rPr>
          <w:rFonts w:ascii="Century Gothic" w:hAnsi="Century Gothic"/>
          <w:color w:val="595959"/>
          <w:sz w:val="24"/>
          <w:szCs w:val="24"/>
        </w:rPr>
        <w:t>Entretanto, o</w:t>
      </w:r>
      <w:r w:rsidR="00481EE9" w:rsidRPr="002936E9">
        <w:rPr>
          <w:rFonts w:ascii="Century Gothic" w:hAnsi="Century Gothic"/>
          <w:color w:val="595959"/>
          <w:sz w:val="24"/>
          <w:szCs w:val="24"/>
        </w:rPr>
        <w:t xml:space="preserve"> abandono a que as Ruínas Romanas de Tróia estiveram votadas ao longo dos séculos, </w:t>
      </w:r>
      <w:r w:rsidR="0041765D" w:rsidRPr="002936E9">
        <w:rPr>
          <w:rFonts w:ascii="Century Gothic" w:hAnsi="Century Gothic"/>
          <w:color w:val="595959"/>
          <w:sz w:val="24"/>
          <w:szCs w:val="24"/>
        </w:rPr>
        <w:t>levou</w:t>
      </w:r>
      <w:r w:rsidR="00481EE9" w:rsidRPr="002936E9">
        <w:rPr>
          <w:rFonts w:ascii="Century Gothic" w:hAnsi="Century Gothic"/>
          <w:color w:val="595959"/>
          <w:sz w:val="24"/>
          <w:szCs w:val="24"/>
        </w:rPr>
        <w:t xml:space="preserve"> </w:t>
      </w:r>
      <w:r w:rsidR="0041765D" w:rsidRPr="002936E9">
        <w:rPr>
          <w:rFonts w:ascii="Century Gothic" w:hAnsi="Century Gothic"/>
          <w:color w:val="595959"/>
          <w:sz w:val="24"/>
          <w:szCs w:val="24"/>
        </w:rPr>
        <w:t>à</w:t>
      </w:r>
      <w:r w:rsidR="00481EE9" w:rsidRPr="002936E9">
        <w:rPr>
          <w:rFonts w:ascii="Century Gothic" w:hAnsi="Century Gothic"/>
          <w:color w:val="595959"/>
          <w:sz w:val="24"/>
          <w:szCs w:val="24"/>
        </w:rPr>
        <w:t xml:space="preserve"> espoliação do sítio</w:t>
      </w:r>
      <w:r w:rsidR="0041765D" w:rsidRPr="002936E9">
        <w:rPr>
          <w:rFonts w:ascii="Century Gothic" w:hAnsi="Century Gothic"/>
          <w:color w:val="595959"/>
          <w:sz w:val="24"/>
          <w:szCs w:val="24"/>
        </w:rPr>
        <w:t>.</w:t>
      </w:r>
      <w:r w:rsidR="00481EE9" w:rsidRPr="002936E9">
        <w:rPr>
          <w:rFonts w:ascii="Century Gothic" w:hAnsi="Century Gothic"/>
          <w:color w:val="595959"/>
          <w:sz w:val="24"/>
          <w:szCs w:val="24"/>
        </w:rPr>
        <w:t xml:space="preserve"> </w:t>
      </w:r>
      <w:r w:rsidR="0041765D" w:rsidRPr="002936E9">
        <w:rPr>
          <w:rFonts w:ascii="Century Gothic" w:hAnsi="Century Gothic"/>
          <w:color w:val="595959"/>
          <w:sz w:val="24"/>
          <w:szCs w:val="24"/>
        </w:rPr>
        <w:t>Q</w:t>
      </w:r>
      <w:r w:rsidR="00481EE9" w:rsidRPr="002936E9">
        <w:rPr>
          <w:rFonts w:ascii="Century Gothic" w:hAnsi="Century Gothic"/>
          <w:color w:val="595959"/>
          <w:sz w:val="24"/>
          <w:szCs w:val="24"/>
        </w:rPr>
        <w:t>uer</w:t>
      </w:r>
      <w:r w:rsidR="0041765D" w:rsidRPr="002936E9">
        <w:rPr>
          <w:rFonts w:ascii="Century Gothic" w:hAnsi="Century Gothic"/>
          <w:color w:val="595959"/>
          <w:sz w:val="24"/>
          <w:szCs w:val="24"/>
        </w:rPr>
        <w:t xml:space="preserve"> peças</w:t>
      </w:r>
      <w:r w:rsidR="00481EE9" w:rsidRPr="002936E9">
        <w:rPr>
          <w:rFonts w:ascii="Century Gothic" w:hAnsi="Century Gothic"/>
          <w:color w:val="595959"/>
          <w:sz w:val="24"/>
          <w:szCs w:val="24"/>
        </w:rPr>
        <w:t xml:space="preserve"> monumentais como estátuas</w:t>
      </w:r>
      <w:r w:rsidRPr="002936E9">
        <w:rPr>
          <w:rFonts w:ascii="Century Gothic" w:hAnsi="Century Gothic"/>
          <w:color w:val="595959"/>
          <w:sz w:val="24"/>
          <w:szCs w:val="24"/>
        </w:rPr>
        <w:t xml:space="preserve"> e </w:t>
      </w:r>
      <w:r w:rsidR="00481EE9" w:rsidRPr="002936E9">
        <w:rPr>
          <w:rFonts w:ascii="Century Gothic" w:hAnsi="Century Gothic"/>
          <w:color w:val="595959"/>
          <w:sz w:val="24"/>
          <w:szCs w:val="24"/>
        </w:rPr>
        <w:t xml:space="preserve">capitéis, quer artefactos de </w:t>
      </w:r>
      <w:r w:rsidR="0041765D" w:rsidRPr="002936E9">
        <w:rPr>
          <w:rFonts w:ascii="Century Gothic" w:hAnsi="Century Gothic"/>
          <w:color w:val="595959"/>
          <w:sz w:val="24"/>
          <w:szCs w:val="24"/>
        </w:rPr>
        <w:t>menore</w:t>
      </w:r>
      <w:r w:rsidR="00481EE9" w:rsidRPr="002936E9">
        <w:rPr>
          <w:rFonts w:ascii="Century Gothic" w:hAnsi="Century Gothic"/>
          <w:color w:val="595959"/>
          <w:sz w:val="24"/>
          <w:szCs w:val="24"/>
        </w:rPr>
        <w:t>s dimensões, como lucernas</w:t>
      </w:r>
      <w:r w:rsidR="0041765D" w:rsidRPr="002936E9">
        <w:rPr>
          <w:rFonts w:ascii="Century Gothic" w:hAnsi="Century Gothic"/>
          <w:color w:val="595959"/>
          <w:sz w:val="24"/>
          <w:szCs w:val="24"/>
        </w:rPr>
        <w:t>, terra sigillata</w:t>
      </w:r>
      <w:r w:rsidRPr="002936E9">
        <w:rPr>
          <w:rFonts w:ascii="Century Gothic" w:hAnsi="Century Gothic"/>
          <w:color w:val="595959"/>
          <w:sz w:val="24"/>
          <w:szCs w:val="24"/>
        </w:rPr>
        <w:t xml:space="preserve"> ou</w:t>
      </w:r>
      <w:r w:rsidR="0041765D" w:rsidRPr="002936E9">
        <w:rPr>
          <w:rFonts w:ascii="Century Gothic" w:hAnsi="Century Gothic"/>
          <w:color w:val="595959"/>
          <w:sz w:val="24"/>
          <w:szCs w:val="24"/>
        </w:rPr>
        <w:t xml:space="preserve"> ânforas foram ao longo de séculos sendo removidos do local</w:t>
      </w:r>
      <w:r w:rsidR="00481EE9" w:rsidRPr="002936E9">
        <w:rPr>
          <w:rFonts w:ascii="Century Gothic" w:hAnsi="Century Gothic"/>
          <w:color w:val="595959"/>
          <w:sz w:val="24"/>
          <w:szCs w:val="24"/>
        </w:rPr>
        <w:t>. Assim se justifica que o espólio desta estação arqueológica</w:t>
      </w:r>
      <w:r w:rsidR="00481EE9" w:rsidRPr="002936E9">
        <w:rPr>
          <w:rFonts w:ascii="Century Gothic" w:hAnsi="Century Gothic"/>
          <w:color w:val="595959"/>
          <w:sz w:val="24"/>
          <w:szCs w:val="24"/>
        </w:rPr>
        <w:t>, como muitas outras em território nacional,</w:t>
      </w:r>
      <w:r w:rsidR="00481EE9" w:rsidRPr="002936E9">
        <w:rPr>
          <w:rFonts w:ascii="Century Gothic" w:hAnsi="Century Gothic"/>
          <w:color w:val="595959"/>
          <w:sz w:val="24"/>
          <w:szCs w:val="24"/>
        </w:rPr>
        <w:t xml:space="preserve"> se encontre </w:t>
      </w:r>
      <w:r w:rsidR="00481EE9" w:rsidRPr="002936E9">
        <w:rPr>
          <w:rFonts w:ascii="Century Gothic" w:hAnsi="Century Gothic"/>
          <w:color w:val="595959"/>
          <w:sz w:val="24"/>
          <w:szCs w:val="24"/>
        </w:rPr>
        <w:t>dispers</w:t>
      </w:r>
      <w:r w:rsidR="0041765D" w:rsidRPr="002936E9">
        <w:rPr>
          <w:rFonts w:ascii="Century Gothic" w:hAnsi="Century Gothic"/>
          <w:color w:val="595959"/>
          <w:sz w:val="24"/>
          <w:szCs w:val="24"/>
        </w:rPr>
        <w:t>o</w:t>
      </w:r>
      <w:r w:rsidR="00481EE9" w:rsidRPr="002936E9">
        <w:rPr>
          <w:rFonts w:ascii="Century Gothic" w:hAnsi="Century Gothic"/>
          <w:color w:val="595959"/>
          <w:sz w:val="24"/>
          <w:szCs w:val="24"/>
        </w:rPr>
        <w:t xml:space="preserve"> </w:t>
      </w:r>
      <w:r w:rsidR="00481EE9" w:rsidRPr="002936E9">
        <w:rPr>
          <w:rFonts w:ascii="Century Gothic" w:hAnsi="Century Gothic"/>
          <w:color w:val="595959"/>
          <w:sz w:val="24"/>
          <w:szCs w:val="24"/>
        </w:rPr>
        <w:t xml:space="preserve">entre dezenas de instituições museológicas, como </w:t>
      </w:r>
      <w:r w:rsidR="00481EE9" w:rsidRPr="002936E9">
        <w:rPr>
          <w:rFonts w:ascii="Century Gothic" w:hAnsi="Century Gothic"/>
          <w:color w:val="595959"/>
          <w:sz w:val="24"/>
          <w:szCs w:val="24"/>
        </w:rPr>
        <w:t>foi já resultado de investigação (BRUM, 2014)</w:t>
      </w:r>
      <w:r w:rsidR="00481EE9" w:rsidRPr="002936E9">
        <w:rPr>
          <w:rFonts w:ascii="Century Gothic" w:hAnsi="Century Gothic"/>
          <w:color w:val="595959"/>
          <w:sz w:val="24"/>
          <w:szCs w:val="24"/>
        </w:rPr>
        <w:t>.</w:t>
      </w:r>
      <w:r w:rsidR="0041765D" w:rsidRPr="002936E9">
        <w:rPr>
          <w:rFonts w:ascii="Century Gothic" w:hAnsi="Century Gothic"/>
          <w:color w:val="595959"/>
          <w:sz w:val="24"/>
          <w:szCs w:val="24"/>
        </w:rPr>
        <w:t xml:space="preserve"> </w:t>
      </w:r>
      <w:r w:rsidR="0085418F" w:rsidRPr="002936E9">
        <w:rPr>
          <w:rFonts w:ascii="Century Gothic" w:hAnsi="Century Gothic"/>
          <w:color w:val="595959"/>
          <w:sz w:val="24"/>
          <w:szCs w:val="24"/>
        </w:rPr>
        <w:t xml:space="preserve">A inexistência de um local com as condições apropriadas para a conservação dos materiais em Tróia </w:t>
      </w:r>
      <w:r w:rsidR="0041765D" w:rsidRPr="002936E9">
        <w:rPr>
          <w:rFonts w:ascii="Century Gothic" w:hAnsi="Century Gothic"/>
          <w:color w:val="595959"/>
          <w:sz w:val="24"/>
          <w:szCs w:val="24"/>
        </w:rPr>
        <w:t>provocou esta situação</w:t>
      </w:r>
      <w:r w:rsidR="0085418F" w:rsidRPr="002936E9">
        <w:rPr>
          <w:rFonts w:ascii="Century Gothic" w:hAnsi="Century Gothic"/>
          <w:color w:val="595959"/>
          <w:sz w:val="24"/>
          <w:szCs w:val="24"/>
        </w:rPr>
        <w:t xml:space="preserve">, </w:t>
      </w:r>
      <w:r w:rsidR="0041765D" w:rsidRPr="002936E9">
        <w:rPr>
          <w:rFonts w:ascii="Century Gothic" w:hAnsi="Century Gothic"/>
          <w:color w:val="595959"/>
          <w:sz w:val="24"/>
          <w:szCs w:val="24"/>
        </w:rPr>
        <w:t>tendo a sua</w:t>
      </w:r>
      <w:r w:rsidR="0085418F" w:rsidRPr="002936E9">
        <w:rPr>
          <w:rFonts w:ascii="Century Gothic" w:hAnsi="Century Gothic"/>
          <w:color w:val="595959"/>
          <w:sz w:val="24"/>
          <w:szCs w:val="24"/>
        </w:rPr>
        <w:t xml:space="preserve"> preservação</w:t>
      </w:r>
      <w:r w:rsidR="0041765D" w:rsidRPr="002936E9">
        <w:rPr>
          <w:rFonts w:ascii="Century Gothic" w:hAnsi="Century Gothic"/>
          <w:color w:val="595959"/>
          <w:sz w:val="24"/>
          <w:szCs w:val="24"/>
        </w:rPr>
        <w:t xml:space="preserve"> </w:t>
      </w:r>
      <w:r w:rsidRPr="002936E9">
        <w:rPr>
          <w:rFonts w:ascii="Century Gothic" w:hAnsi="Century Gothic"/>
          <w:color w:val="595959"/>
          <w:sz w:val="24"/>
          <w:szCs w:val="24"/>
        </w:rPr>
        <w:t>tentado ser</w:t>
      </w:r>
      <w:r w:rsidR="0041765D" w:rsidRPr="002936E9">
        <w:rPr>
          <w:rFonts w:ascii="Century Gothic" w:hAnsi="Century Gothic"/>
          <w:color w:val="595959"/>
          <w:sz w:val="24"/>
          <w:szCs w:val="24"/>
        </w:rPr>
        <w:t xml:space="preserve"> assegurada por alguns museus </w:t>
      </w:r>
      <w:r w:rsidR="007831A3" w:rsidRPr="002936E9">
        <w:rPr>
          <w:rFonts w:ascii="Century Gothic" w:hAnsi="Century Gothic"/>
          <w:color w:val="595959"/>
          <w:sz w:val="24"/>
          <w:szCs w:val="24"/>
        </w:rPr>
        <w:t xml:space="preserve">nos quais </w:t>
      </w:r>
      <w:r w:rsidR="0041765D" w:rsidRPr="002936E9">
        <w:rPr>
          <w:rFonts w:ascii="Century Gothic" w:hAnsi="Century Gothic"/>
          <w:color w:val="595959"/>
          <w:sz w:val="24"/>
          <w:szCs w:val="24"/>
        </w:rPr>
        <w:t>a sua missão</w:t>
      </w:r>
      <w:r w:rsidR="007831A3" w:rsidRPr="002936E9">
        <w:rPr>
          <w:rFonts w:ascii="Century Gothic" w:hAnsi="Century Gothic"/>
          <w:color w:val="595959"/>
          <w:sz w:val="24"/>
          <w:szCs w:val="24"/>
        </w:rPr>
        <w:t xml:space="preserve"> não o previa à partida</w:t>
      </w:r>
      <w:r w:rsidR="0085418F" w:rsidRPr="002936E9">
        <w:rPr>
          <w:rFonts w:ascii="Century Gothic" w:hAnsi="Century Gothic"/>
          <w:color w:val="595959"/>
          <w:sz w:val="24"/>
          <w:szCs w:val="24"/>
        </w:rPr>
        <w:t xml:space="preserve">. </w:t>
      </w:r>
    </w:p>
    <w:p w14:paraId="30A3F1B0" w14:textId="4B6E0B40" w:rsidR="0041765D" w:rsidRPr="002936E9" w:rsidRDefault="0041765D" w:rsidP="002936E9">
      <w:pPr>
        <w:jc w:val="both"/>
        <w:rPr>
          <w:rFonts w:ascii="Century Gothic" w:hAnsi="Century Gothic"/>
          <w:color w:val="595959"/>
          <w:sz w:val="24"/>
          <w:szCs w:val="24"/>
        </w:rPr>
      </w:pPr>
      <w:r w:rsidRPr="002936E9">
        <w:rPr>
          <w:rFonts w:ascii="Century Gothic" w:hAnsi="Century Gothic"/>
          <w:color w:val="595959"/>
          <w:sz w:val="24"/>
          <w:szCs w:val="24"/>
        </w:rPr>
        <w:t>O presente projecto</w:t>
      </w:r>
      <w:r w:rsidR="007831A3" w:rsidRPr="002936E9">
        <w:rPr>
          <w:rFonts w:ascii="Century Gothic" w:hAnsi="Century Gothic"/>
          <w:color w:val="595959"/>
          <w:sz w:val="24"/>
          <w:szCs w:val="24"/>
        </w:rPr>
        <w:t>, cuj</w:t>
      </w:r>
      <w:r w:rsidR="007831A3" w:rsidRPr="002936E9">
        <w:rPr>
          <w:rFonts w:ascii="Century Gothic" w:hAnsi="Century Gothic"/>
          <w:color w:val="595959"/>
          <w:sz w:val="24"/>
          <w:szCs w:val="24"/>
        </w:rPr>
        <w:t xml:space="preserve">o </w:t>
      </w:r>
      <w:r w:rsidR="002936E9" w:rsidRPr="002936E9">
        <w:rPr>
          <w:rFonts w:ascii="Century Gothic" w:hAnsi="Century Gothic"/>
          <w:color w:val="595959"/>
          <w:sz w:val="24"/>
          <w:szCs w:val="24"/>
        </w:rPr>
        <w:t>Relatório de Conformidade Ambiental do Projeto de Execução (RECAPE) da Ocupação Turística da UNOP4 de Tróia</w:t>
      </w:r>
      <w:r w:rsidR="007831A3" w:rsidRPr="002936E9">
        <w:rPr>
          <w:rFonts w:ascii="Century Gothic" w:hAnsi="Century Gothic"/>
          <w:color w:val="595959"/>
          <w:sz w:val="24"/>
          <w:szCs w:val="24"/>
        </w:rPr>
        <w:t xml:space="preserve"> se encontra em fase de consulta pública</w:t>
      </w:r>
      <w:r w:rsidR="002936E9" w:rsidRPr="002936E9">
        <w:rPr>
          <w:rFonts w:ascii="Century Gothic" w:hAnsi="Century Gothic"/>
          <w:color w:val="595959"/>
          <w:sz w:val="24"/>
          <w:szCs w:val="24"/>
        </w:rPr>
        <w:t xml:space="preserve"> até </w:t>
      </w:r>
      <w:r w:rsidR="002936E9" w:rsidRPr="007448DC">
        <w:rPr>
          <w:rFonts w:ascii="Century Gothic" w:hAnsi="Century Gothic"/>
          <w:b/>
          <w:bCs/>
          <w:color w:val="595959"/>
          <w:sz w:val="24"/>
          <w:szCs w:val="24"/>
        </w:rPr>
        <w:t>28 de Outubro</w:t>
      </w:r>
      <w:r w:rsidR="002936E9" w:rsidRPr="002936E9">
        <w:rPr>
          <w:rFonts w:ascii="Century Gothic" w:hAnsi="Century Gothic"/>
          <w:color w:val="595959"/>
          <w:sz w:val="24"/>
          <w:szCs w:val="24"/>
        </w:rPr>
        <w:t xml:space="preserve"> de 2022</w:t>
      </w:r>
      <w:r w:rsidR="007831A3" w:rsidRPr="002936E9">
        <w:rPr>
          <w:rFonts w:ascii="Century Gothic" w:hAnsi="Century Gothic"/>
          <w:color w:val="595959"/>
          <w:sz w:val="24"/>
          <w:szCs w:val="24"/>
        </w:rPr>
        <w:t>,</w:t>
      </w:r>
      <w:r w:rsidRPr="002936E9">
        <w:rPr>
          <w:rFonts w:ascii="Century Gothic" w:hAnsi="Century Gothic"/>
          <w:color w:val="595959"/>
          <w:sz w:val="24"/>
          <w:szCs w:val="24"/>
        </w:rPr>
        <w:t xml:space="preserve"> indica agora a construção de um Centro de Interpretação. A</w:t>
      </w:r>
      <w:r w:rsidRPr="002936E9">
        <w:rPr>
          <w:rFonts w:ascii="Century Gothic" w:hAnsi="Century Gothic"/>
          <w:color w:val="595959"/>
          <w:sz w:val="24"/>
          <w:szCs w:val="24"/>
        </w:rPr>
        <w:t xml:space="preserve"> alteração de um projecto </w:t>
      </w:r>
      <w:r w:rsidRPr="002936E9">
        <w:rPr>
          <w:rFonts w:ascii="Century Gothic" w:hAnsi="Century Gothic"/>
          <w:color w:val="595959"/>
          <w:sz w:val="24"/>
          <w:szCs w:val="24"/>
        </w:rPr>
        <w:t xml:space="preserve">secular, </w:t>
      </w:r>
      <w:r w:rsidRPr="002936E9">
        <w:rPr>
          <w:rFonts w:ascii="Century Gothic" w:hAnsi="Century Gothic"/>
          <w:color w:val="595959"/>
          <w:sz w:val="24"/>
          <w:szCs w:val="24"/>
        </w:rPr>
        <w:t xml:space="preserve">constantemente abordado como </w:t>
      </w:r>
      <w:r w:rsidR="00404415" w:rsidRPr="002936E9">
        <w:rPr>
          <w:rFonts w:ascii="Century Gothic" w:hAnsi="Century Gothic"/>
          <w:color w:val="595959"/>
          <w:sz w:val="24"/>
          <w:szCs w:val="24"/>
        </w:rPr>
        <w:t>“M</w:t>
      </w:r>
      <w:r w:rsidRPr="002936E9">
        <w:rPr>
          <w:rFonts w:ascii="Century Gothic" w:hAnsi="Century Gothic"/>
          <w:color w:val="595959"/>
          <w:sz w:val="24"/>
          <w:szCs w:val="24"/>
        </w:rPr>
        <w:t>useu de Tróia</w:t>
      </w:r>
      <w:r w:rsidR="00404415" w:rsidRPr="002936E9">
        <w:rPr>
          <w:rFonts w:ascii="Century Gothic" w:hAnsi="Century Gothic"/>
          <w:color w:val="595959"/>
          <w:sz w:val="24"/>
          <w:szCs w:val="24"/>
        </w:rPr>
        <w:t>”</w:t>
      </w:r>
      <w:r w:rsidRPr="002936E9">
        <w:rPr>
          <w:rFonts w:ascii="Century Gothic" w:hAnsi="Century Gothic"/>
          <w:color w:val="595959"/>
          <w:sz w:val="24"/>
          <w:szCs w:val="24"/>
        </w:rPr>
        <w:t>, apenas foi revista quando se pretendeu associar as duas temáticas de património cultural e natural. Em Tróia, a necessidade d</w:t>
      </w:r>
      <w:r w:rsidR="007831A3" w:rsidRPr="002936E9">
        <w:rPr>
          <w:rFonts w:ascii="Century Gothic" w:hAnsi="Century Gothic"/>
          <w:color w:val="595959"/>
          <w:sz w:val="24"/>
          <w:szCs w:val="24"/>
        </w:rPr>
        <w:t>e um</w:t>
      </w:r>
      <w:r w:rsidRPr="002936E9">
        <w:rPr>
          <w:rFonts w:ascii="Century Gothic" w:hAnsi="Century Gothic"/>
          <w:color w:val="595959"/>
          <w:sz w:val="24"/>
          <w:szCs w:val="24"/>
        </w:rPr>
        <w:t xml:space="preserve"> equipamento que </w:t>
      </w:r>
      <w:r w:rsidR="007831A3" w:rsidRPr="002936E9">
        <w:rPr>
          <w:rFonts w:ascii="Century Gothic" w:hAnsi="Century Gothic"/>
          <w:color w:val="595959"/>
          <w:sz w:val="24"/>
          <w:szCs w:val="24"/>
        </w:rPr>
        <w:t>albergue o espólio móvel decorrente deste sítio arqueológico parte precisamente da sua vertente arqueológica</w:t>
      </w:r>
      <w:r w:rsidRPr="002936E9">
        <w:rPr>
          <w:rFonts w:ascii="Century Gothic" w:hAnsi="Century Gothic"/>
          <w:color w:val="595959"/>
          <w:sz w:val="24"/>
          <w:szCs w:val="24"/>
        </w:rPr>
        <w:t>, ainda que este esteja intimamente ligado ao património natural da região e não o deva descurar.</w:t>
      </w:r>
    </w:p>
    <w:p w14:paraId="1C7BC4D5" w14:textId="26BF479B" w:rsidR="0041765D" w:rsidRPr="002936E9" w:rsidRDefault="007831A3" w:rsidP="002936E9">
      <w:pPr>
        <w:jc w:val="both"/>
        <w:rPr>
          <w:rFonts w:ascii="Century Gothic" w:hAnsi="Century Gothic"/>
          <w:color w:val="595959"/>
          <w:sz w:val="24"/>
          <w:szCs w:val="24"/>
        </w:rPr>
      </w:pPr>
      <w:r w:rsidRPr="002936E9">
        <w:rPr>
          <w:rFonts w:ascii="Century Gothic" w:hAnsi="Century Gothic"/>
          <w:color w:val="595959"/>
          <w:sz w:val="24"/>
          <w:szCs w:val="24"/>
        </w:rPr>
        <w:t>Ainda que</w:t>
      </w:r>
      <w:r w:rsidR="0041765D" w:rsidRPr="002936E9">
        <w:rPr>
          <w:rFonts w:ascii="Century Gothic" w:hAnsi="Century Gothic"/>
          <w:color w:val="595959"/>
          <w:sz w:val="24"/>
          <w:szCs w:val="24"/>
        </w:rPr>
        <w:t xml:space="preserve"> não </w:t>
      </w:r>
      <w:r w:rsidRPr="002936E9">
        <w:rPr>
          <w:rFonts w:ascii="Century Gothic" w:hAnsi="Century Gothic"/>
          <w:color w:val="595959"/>
          <w:sz w:val="24"/>
          <w:szCs w:val="24"/>
        </w:rPr>
        <w:t xml:space="preserve">se </w:t>
      </w:r>
      <w:r w:rsidR="0041765D" w:rsidRPr="002936E9">
        <w:rPr>
          <w:rFonts w:ascii="Century Gothic" w:hAnsi="Century Gothic"/>
          <w:color w:val="595959"/>
          <w:sz w:val="24"/>
          <w:szCs w:val="24"/>
        </w:rPr>
        <w:t>defin</w:t>
      </w:r>
      <w:r w:rsidRPr="002936E9">
        <w:rPr>
          <w:rFonts w:ascii="Century Gothic" w:hAnsi="Century Gothic"/>
          <w:color w:val="595959"/>
          <w:sz w:val="24"/>
          <w:szCs w:val="24"/>
        </w:rPr>
        <w:t>a</w:t>
      </w:r>
      <w:r w:rsidR="0041765D" w:rsidRPr="002936E9">
        <w:rPr>
          <w:rFonts w:ascii="Century Gothic" w:hAnsi="Century Gothic"/>
          <w:color w:val="595959"/>
          <w:sz w:val="24"/>
          <w:szCs w:val="24"/>
        </w:rPr>
        <w:t xml:space="preserve"> centro de interpretação como um espaço museal sem colecção, </w:t>
      </w:r>
      <w:r w:rsidRPr="002936E9">
        <w:rPr>
          <w:rFonts w:ascii="Century Gothic" w:hAnsi="Century Gothic"/>
          <w:color w:val="595959"/>
          <w:sz w:val="24"/>
          <w:szCs w:val="24"/>
        </w:rPr>
        <w:t>a</w:t>
      </w:r>
      <w:r w:rsidR="0041765D" w:rsidRPr="002936E9">
        <w:rPr>
          <w:rFonts w:ascii="Century Gothic" w:hAnsi="Century Gothic"/>
          <w:color w:val="595959"/>
          <w:sz w:val="24"/>
          <w:szCs w:val="24"/>
        </w:rPr>
        <w:t xml:space="preserve">o </w:t>
      </w:r>
      <w:r w:rsidRPr="002936E9">
        <w:rPr>
          <w:rFonts w:ascii="Century Gothic" w:hAnsi="Century Gothic"/>
          <w:color w:val="595959"/>
          <w:sz w:val="24"/>
          <w:szCs w:val="24"/>
        </w:rPr>
        <w:t>observ</w:t>
      </w:r>
      <w:r w:rsidR="0041765D" w:rsidRPr="002936E9">
        <w:rPr>
          <w:rFonts w:ascii="Century Gothic" w:hAnsi="Century Gothic"/>
          <w:color w:val="595959"/>
          <w:sz w:val="24"/>
          <w:szCs w:val="24"/>
        </w:rPr>
        <w:t xml:space="preserve">ar um acervo composto por um sítio arqueológico, que não cabe fisicamente num edifício, e os seus objectos relacionados (bens arqueológicos e fundo documental) esta nomenclatura </w:t>
      </w:r>
      <w:r w:rsidRPr="002936E9">
        <w:rPr>
          <w:rFonts w:ascii="Century Gothic" w:hAnsi="Century Gothic"/>
          <w:color w:val="595959"/>
          <w:sz w:val="24"/>
          <w:szCs w:val="24"/>
        </w:rPr>
        <w:t>não é</w:t>
      </w:r>
      <w:r w:rsidR="0041765D" w:rsidRPr="002936E9">
        <w:rPr>
          <w:rFonts w:ascii="Century Gothic" w:hAnsi="Century Gothic"/>
          <w:color w:val="595959"/>
          <w:sz w:val="24"/>
          <w:szCs w:val="24"/>
        </w:rPr>
        <w:t xml:space="preserve"> aplicável</w:t>
      </w:r>
      <w:r w:rsidRPr="002936E9">
        <w:rPr>
          <w:rFonts w:ascii="Century Gothic" w:hAnsi="Century Gothic"/>
          <w:color w:val="595959"/>
          <w:sz w:val="24"/>
          <w:szCs w:val="24"/>
        </w:rPr>
        <w:t xml:space="preserve"> às necessidades apresentadas por este sítio</w:t>
      </w:r>
      <w:r w:rsidR="00952A22" w:rsidRPr="002936E9">
        <w:rPr>
          <w:rFonts w:ascii="Century Gothic" w:hAnsi="Century Gothic"/>
          <w:color w:val="595959"/>
          <w:sz w:val="24"/>
          <w:szCs w:val="24"/>
        </w:rPr>
        <w:t xml:space="preserve"> arqueológico</w:t>
      </w:r>
      <w:r w:rsidR="0041765D" w:rsidRPr="002936E9">
        <w:rPr>
          <w:rFonts w:ascii="Century Gothic" w:hAnsi="Century Gothic"/>
          <w:color w:val="595959"/>
          <w:sz w:val="24"/>
          <w:szCs w:val="24"/>
        </w:rPr>
        <w:t xml:space="preserve">. </w:t>
      </w:r>
    </w:p>
    <w:p w14:paraId="1316C8F7" w14:textId="49E74832" w:rsidR="0041765D" w:rsidRPr="002936E9" w:rsidRDefault="0041765D" w:rsidP="002936E9">
      <w:pPr>
        <w:jc w:val="both"/>
        <w:rPr>
          <w:rFonts w:ascii="Century Gothic" w:hAnsi="Century Gothic"/>
          <w:color w:val="595959"/>
          <w:sz w:val="24"/>
          <w:szCs w:val="24"/>
        </w:rPr>
      </w:pPr>
      <w:r w:rsidRPr="002936E9">
        <w:rPr>
          <w:rFonts w:ascii="Century Gothic" w:hAnsi="Century Gothic"/>
          <w:color w:val="595959"/>
          <w:sz w:val="24"/>
          <w:szCs w:val="24"/>
        </w:rPr>
        <w:lastRenderedPageBreak/>
        <w:t>Considerando</w:t>
      </w:r>
      <w:r w:rsidR="007831A3" w:rsidRPr="002936E9">
        <w:rPr>
          <w:rFonts w:ascii="Century Gothic" w:hAnsi="Century Gothic"/>
          <w:color w:val="595959"/>
          <w:sz w:val="24"/>
          <w:szCs w:val="24"/>
        </w:rPr>
        <w:t>-se</w:t>
      </w:r>
      <w:r w:rsidRPr="002936E9">
        <w:rPr>
          <w:rFonts w:ascii="Century Gothic" w:hAnsi="Century Gothic"/>
          <w:color w:val="595959"/>
          <w:sz w:val="24"/>
          <w:szCs w:val="24"/>
        </w:rPr>
        <w:t xml:space="preserve"> consensual que o centro de interpretação não tem como vocação a investigação, recolha e a conservação, mas antes a sensibilização de públicos para o património, esta definição não </w:t>
      </w:r>
      <w:r w:rsidR="00404415" w:rsidRPr="002936E9">
        <w:rPr>
          <w:rFonts w:ascii="Century Gothic" w:hAnsi="Century Gothic"/>
          <w:color w:val="595959"/>
          <w:sz w:val="24"/>
          <w:szCs w:val="24"/>
        </w:rPr>
        <w:t>basta</w:t>
      </w:r>
      <w:r w:rsidRPr="002936E9">
        <w:rPr>
          <w:rFonts w:ascii="Century Gothic" w:hAnsi="Century Gothic"/>
          <w:color w:val="595959"/>
          <w:sz w:val="24"/>
          <w:szCs w:val="24"/>
        </w:rPr>
        <w:t xml:space="preserve"> no caso de Tróia. Não se pretende apenas interpretar o território de Tróia, geograficamente distinto em época romana, mas também desenvolver o conhecimento da ocupação deste espaço entre o</w:t>
      </w:r>
      <w:r w:rsidR="007448DC">
        <w:rPr>
          <w:rFonts w:ascii="Century Gothic" w:hAnsi="Century Gothic"/>
          <w:color w:val="595959"/>
          <w:sz w:val="24"/>
          <w:szCs w:val="24"/>
        </w:rPr>
        <w:t>s diversos</w:t>
      </w:r>
      <w:r w:rsidRPr="002936E9">
        <w:rPr>
          <w:rFonts w:ascii="Century Gothic" w:hAnsi="Century Gothic"/>
          <w:color w:val="595959"/>
          <w:sz w:val="24"/>
          <w:szCs w:val="24"/>
        </w:rPr>
        <w:t xml:space="preserve"> século</w:t>
      </w:r>
      <w:r w:rsidR="007448DC">
        <w:rPr>
          <w:rFonts w:ascii="Century Gothic" w:hAnsi="Century Gothic"/>
          <w:color w:val="595959"/>
          <w:sz w:val="24"/>
          <w:szCs w:val="24"/>
        </w:rPr>
        <w:t>s, com particular enfoque no período romano</w:t>
      </w:r>
      <w:r w:rsidRPr="002936E9">
        <w:rPr>
          <w:rFonts w:ascii="Century Gothic" w:hAnsi="Century Gothic"/>
          <w:color w:val="595959"/>
          <w:sz w:val="24"/>
          <w:szCs w:val="24"/>
        </w:rPr>
        <w:t>. No caso de Tróia será mais conveniente a constituição de uma instituição que se entend</w:t>
      </w:r>
      <w:r w:rsidR="00952A22" w:rsidRPr="002936E9">
        <w:rPr>
          <w:rFonts w:ascii="Century Gothic" w:hAnsi="Century Gothic"/>
          <w:color w:val="595959"/>
          <w:sz w:val="24"/>
          <w:szCs w:val="24"/>
        </w:rPr>
        <w:t>a</w:t>
      </w:r>
      <w:r w:rsidRPr="002936E9">
        <w:rPr>
          <w:rFonts w:ascii="Century Gothic" w:hAnsi="Century Gothic"/>
          <w:color w:val="595959"/>
          <w:sz w:val="24"/>
          <w:szCs w:val="24"/>
        </w:rPr>
        <w:t xml:space="preserve"> como um pólo de investigação, onde</w:t>
      </w:r>
      <w:r w:rsidR="00404415" w:rsidRPr="002936E9">
        <w:rPr>
          <w:rFonts w:ascii="Century Gothic" w:hAnsi="Century Gothic"/>
          <w:color w:val="595959"/>
          <w:sz w:val="24"/>
          <w:szCs w:val="24"/>
        </w:rPr>
        <w:t xml:space="preserve"> </w:t>
      </w:r>
      <w:r w:rsidRPr="002936E9">
        <w:rPr>
          <w:rFonts w:ascii="Century Gothic" w:hAnsi="Century Gothic"/>
          <w:color w:val="595959"/>
          <w:sz w:val="24"/>
          <w:szCs w:val="24"/>
        </w:rPr>
        <w:t>existe uma colecção aberta, que previsivelmente irá crescendo à medida da própria investigação.</w:t>
      </w:r>
    </w:p>
    <w:p w14:paraId="69F67CC8" w14:textId="0B57A06C" w:rsidR="0085418F" w:rsidRPr="002936E9" w:rsidRDefault="007831A3" w:rsidP="002936E9">
      <w:pPr>
        <w:jc w:val="both"/>
        <w:rPr>
          <w:rFonts w:ascii="Century Gothic" w:hAnsi="Century Gothic"/>
          <w:color w:val="595959"/>
          <w:sz w:val="24"/>
          <w:szCs w:val="24"/>
        </w:rPr>
      </w:pPr>
      <w:r w:rsidRPr="002936E9">
        <w:rPr>
          <w:rFonts w:ascii="Century Gothic" w:hAnsi="Century Gothic"/>
          <w:color w:val="595959"/>
          <w:sz w:val="24"/>
          <w:szCs w:val="24"/>
        </w:rPr>
        <w:t xml:space="preserve">Sendo a reserva um espaço tão fundamental no que respeita </w:t>
      </w:r>
      <w:r w:rsidR="00952A22" w:rsidRPr="002936E9">
        <w:rPr>
          <w:rFonts w:ascii="Century Gothic" w:hAnsi="Century Gothic"/>
          <w:color w:val="595959"/>
          <w:sz w:val="24"/>
          <w:szCs w:val="24"/>
        </w:rPr>
        <w:t>a</w:t>
      </w:r>
      <w:r w:rsidRPr="002936E9">
        <w:rPr>
          <w:rFonts w:ascii="Century Gothic" w:hAnsi="Century Gothic"/>
          <w:color w:val="595959"/>
          <w:sz w:val="24"/>
          <w:szCs w:val="24"/>
        </w:rPr>
        <w:t xml:space="preserve">o acervo arqueológico de Tróia, </w:t>
      </w:r>
      <w:r w:rsidR="00404415" w:rsidRPr="002936E9">
        <w:rPr>
          <w:rFonts w:ascii="Century Gothic" w:hAnsi="Century Gothic"/>
          <w:color w:val="595959"/>
          <w:sz w:val="24"/>
          <w:szCs w:val="24"/>
        </w:rPr>
        <w:t>existindo já</w:t>
      </w:r>
      <w:r w:rsidRPr="002936E9">
        <w:rPr>
          <w:rFonts w:ascii="Century Gothic" w:hAnsi="Century Gothic"/>
          <w:color w:val="595959"/>
          <w:sz w:val="24"/>
          <w:szCs w:val="24"/>
        </w:rPr>
        <w:t xml:space="preserve"> um depósito</w:t>
      </w:r>
      <w:r w:rsidR="00404415" w:rsidRPr="002936E9">
        <w:rPr>
          <w:rFonts w:ascii="Century Gothic" w:hAnsi="Century Gothic"/>
          <w:color w:val="595959"/>
          <w:sz w:val="24"/>
          <w:szCs w:val="24"/>
        </w:rPr>
        <w:t xml:space="preserve"> de espólio arqueológico</w:t>
      </w:r>
      <w:r w:rsidRPr="002936E9">
        <w:rPr>
          <w:rFonts w:ascii="Century Gothic" w:hAnsi="Century Gothic"/>
          <w:color w:val="595959"/>
          <w:sz w:val="24"/>
          <w:szCs w:val="24"/>
        </w:rPr>
        <w:t xml:space="preserve"> reconhecido pela DGPC</w:t>
      </w:r>
      <w:r w:rsidR="00404415" w:rsidRPr="002936E9">
        <w:rPr>
          <w:rFonts w:ascii="Century Gothic" w:hAnsi="Century Gothic"/>
          <w:color w:val="595959"/>
          <w:sz w:val="24"/>
          <w:szCs w:val="24"/>
        </w:rPr>
        <w:t>, e u</w:t>
      </w:r>
      <w:r w:rsidR="0085418F" w:rsidRPr="002936E9">
        <w:rPr>
          <w:rFonts w:ascii="Century Gothic" w:hAnsi="Century Gothic"/>
          <w:color w:val="595959"/>
          <w:sz w:val="24"/>
          <w:szCs w:val="24"/>
        </w:rPr>
        <w:t xml:space="preserve">ma vez que de acordo com a legislação o espólio de escavações deve ser depositado em museus e os bens classificados de Interesse Nacional (tesouros nacionais) </w:t>
      </w:r>
      <w:r w:rsidR="00952A22" w:rsidRPr="002936E9">
        <w:rPr>
          <w:rFonts w:ascii="Century Gothic" w:hAnsi="Century Gothic"/>
          <w:color w:val="595959"/>
          <w:sz w:val="24"/>
          <w:szCs w:val="24"/>
        </w:rPr>
        <w:t>têm que ser</w:t>
      </w:r>
      <w:r w:rsidR="0085418F" w:rsidRPr="002936E9">
        <w:rPr>
          <w:rFonts w:ascii="Century Gothic" w:hAnsi="Century Gothic"/>
          <w:color w:val="595959"/>
          <w:sz w:val="24"/>
          <w:szCs w:val="24"/>
        </w:rPr>
        <w:t xml:space="preserve"> colocados em museus, </w:t>
      </w:r>
      <w:r w:rsidR="00952A22" w:rsidRPr="002936E9">
        <w:rPr>
          <w:rFonts w:ascii="Century Gothic" w:hAnsi="Century Gothic"/>
          <w:color w:val="595959"/>
          <w:sz w:val="24"/>
          <w:szCs w:val="24"/>
        </w:rPr>
        <w:t>t</w:t>
      </w:r>
      <w:r w:rsidR="0085418F" w:rsidRPr="002936E9">
        <w:rPr>
          <w:rFonts w:ascii="Century Gothic" w:hAnsi="Century Gothic"/>
          <w:color w:val="595959"/>
          <w:sz w:val="24"/>
          <w:szCs w:val="24"/>
        </w:rPr>
        <w:t xml:space="preserve">er-se-á </w:t>
      </w:r>
      <w:r w:rsidR="00952A22" w:rsidRPr="002936E9">
        <w:rPr>
          <w:rFonts w:ascii="Century Gothic" w:hAnsi="Century Gothic"/>
          <w:color w:val="595959"/>
          <w:sz w:val="24"/>
          <w:szCs w:val="24"/>
        </w:rPr>
        <w:t xml:space="preserve">que </w:t>
      </w:r>
      <w:r w:rsidR="0085418F" w:rsidRPr="002936E9">
        <w:rPr>
          <w:rFonts w:ascii="Century Gothic" w:hAnsi="Century Gothic"/>
          <w:color w:val="595959"/>
          <w:sz w:val="24"/>
          <w:szCs w:val="24"/>
        </w:rPr>
        <w:t>considerar a criação de um museu em Tróia.</w:t>
      </w:r>
      <w:r w:rsidR="00952A22" w:rsidRPr="002936E9">
        <w:rPr>
          <w:rFonts w:ascii="Century Gothic" w:hAnsi="Century Gothic"/>
          <w:color w:val="595959"/>
          <w:sz w:val="24"/>
          <w:szCs w:val="24"/>
        </w:rPr>
        <w:t xml:space="preserve"> Com </w:t>
      </w:r>
      <w:r w:rsidR="00952A22" w:rsidRPr="002936E9">
        <w:rPr>
          <w:rFonts w:ascii="Century Gothic" w:hAnsi="Century Gothic"/>
          <w:color w:val="595959"/>
          <w:sz w:val="24"/>
          <w:szCs w:val="24"/>
        </w:rPr>
        <w:t xml:space="preserve">o intuito de não continuar com a dispersão </w:t>
      </w:r>
      <w:r w:rsidR="007F434E">
        <w:rPr>
          <w:rFonts w:ascii="Century Gothic" w:hAnsi="Century Gothic"/>
          <w:color w:val="595959"/>
          <w:sz w:val="24"/>
          <w:szCs w:val="24"/>
        </w:rPr>
        <w:t>d</w:t>
      </w:r>
      <w:r w:rsidR="00952A22" w:rsidRPr="002936E9">
        <w:rPr>
          <w:rFonts w:ascii="Century Gothic" w:hAnsi="Century Gothic"/>
          <w:color w:val="595959"/>
          <w:sz w:val="24"/>
          <w:szCs w:val="24"/>
        </w:rPr>
        <w:t xml:space="preserve">a colecção de Tróia e </w:t>
      </w:r>
      <w:r w:rsidR="00952A22" w:rsidRPr="002936E9">
        <w:rPr>
          <w:rFonts w:ascii="Century Gothic" w:hAnsi="Century Gothic"/>
          <w:color w:val="595959"/>
          <w:sz w:val="24"/>
          <w:szCs w:val="24"/>
        </w:rPr>
        <w:t xml:space="preserve">de </w:t>
      </w:r>
      <w:r w:rsidR="00952A22" w:rsidRPr="002936E9">
        <w:rPr>
          <w:rFonts w:ascii="Century Gothic" w:hAnsi="Century Gothic"/>
          <w:color w:val="595959"/>
          <w:sz w:val="24"/>
          <w:szCs w:val="24"/>
        </w:rPr>
        <w:t xml:space="preserve">proporcionar as devidas condições </w:t>
      </w:r>
      <w:r w:rsidR="00952A22" w:rsidRPr="002936E9">
        <w:rPr>
          <w:rFonts w:ascii="Century Gothic" w:hAnsi="Century Gothic"/>
          <w:color w:val="595959"/>
          <w:sz w:val="24"/>
          <w:szCs w:val="24"/>
        </w:rPr>
        <w:t>a este espólio</w:t>
      </w:r>
      <w:r w:rsidR="007F434E">
        <w:rPr>
          <w:rFonts w:ascii="Century Gothic" w:hAnsi="Century Gothic"/>
          <w:color w:val="595959"/>
          <w:sz w:val="24"/>
          <w:szCs w:val="24"/>
        </w:rPr>
        <w:t>,</w:t>
      </w:r>
      <w:r w:rsidR="00952A22" w:rsidRPr="002936E9">
        <w:rPr>
          <w:rFonts w:ascii="Century Gothic" w:hAnsi="Century Gothic"/>
          <w:color w:val="595959"/>
          <w:sz w:val="24"/>
          <w:szCs w:val="24"/>
        </w:rPr>
        <w:t xml:space="preserve"> a única solução é</w:t>
      </w:r>
      <w:r w:rsidR="00952A22" w:rsidRPr="002936E9">
        <w:rPr>
          <w:rFonts w:ascii="Century Gothic" w:hAnsi="Century Gothic"/>
          <w:color w:val="595959"/>
          <w:sz w:val="24"/>
          <w:szCs w:val="24"/>
        </w:rPr>
        <w:t xml:space="preserve"> um espaço museológico próximo do sítio</w:t>
      </w:r>
      <w:r w:rsidR="00952A22" w:rsidRPr="002936E9">
        <w:rPr>
          <w:rFonts w:ascii="Century Gothic" w:hAnsi="Century Gothic"/>
          <w:color w:val="595959"/>
          <w:sz w:val="24"/>
          <w:szCs w:val="24"/>
        </w:rPr>
        <w:t>.</w:t>
      </w:r>
    </w:p>
    <w:p w14:paraId="301DFDE4" w14:textId="7B2F9F4F" w:rsidR="0085418F" w:rsidRPr="002936E9" w:rsidRDefault="0085418F" w:rsidP="002936E9">
      <w:pPr>
        <w:jc w:val="both"/>
        <w:rPr>
          <w:rFonts w:ascii="Century Gothic" w:hAnsi="Century Gothic"/>
          <w:color w:val="595959"/>
          <w:sz w:val="24"/>
          <w:szCs w:val="24"/>
        </w:rPr>
      </w:pPr>
      <w:r w:rsidRPr="002936E9">
        <w:rPr>
          <w:rFonts w:ascii="Century Gothic" w:hAnsi="Century Gothic"/>
          <w:color w:val="595959"/>
          <w:sz w:val="24"/>
          <w:szCs w:val="24"/>
        </w:rPr>
        <w:t xml:space="preserve">Poder-se-á argumentar que uma das grandes questões na escolha de uma ou outra solução será </w:t>
      </w:r>
      <w:r w:rsidR="00952A22" w:rsidRPr="002936E9">
        <w:rPr>
          <w:rFonts w:ascii="Century Gothic" w:hAnsi="Century Gothic"/>
          <w:color w:val="595959"/>
          <w:sz w:val="24"/>
          <w:szCs w:val="24"/>
        </w:rPr>
        <w:t xml:space="preserve">a </w:t>
      </w:r>
      <w:r w:rsidRPr="002936E9">
        <w:rPr>
          <w:rFonts w:ascii="Century Gothic" w:hAnsi="Century Gothic"/>
          <w:color w:val="595959"/>
          <w:sz w:val="24"/>
          <w:szCs w:val="24"/>
        </w:rPr>
        <w:t>dos custos associados</w:t>
      </w:r>
      <w:r w:rsidR="00952A22" w:rsidRPr="002936E9">
        <w:rPr>
          <w:rFonts w:ascii="Century Gothic" w:hAnsi="Century Gothic"/>
          <w:color w:val="595959"/>
          <w:sz w:val="24"/>
          <w:szCs w:val="24"/>
        </w:rPr>
        <w:t>, uma vez que um museu deve cumprir a legislação existente e exigente</w:t>
      </w:r>
      <w:r w:rsidR="007F434E">
        <w:rPr>
          <w:rFonts w:ascii="Century Gothic" w:hAnsi="Century Gothic"/>
          <w:color w:val="595959"/>
          <w:sz w:val="24"/>
          <w:szCs w:val="24"/>
        </w:rPr>
        <w:t xml:space="preserve"> (Lei-quadro 47/2004)</w:t>
      </w:r>
      <w:r w:rsidR="00952A22" w:rsidRPr="002936E9">
        <w:rPr>
          <w:rFonts w:ascii="Century Gothic" w:hAnsi="Century Gothic"/>
          <w:color w:val="595959"/>
          <w:sz w:val="24"/>
          <w:szCs w:val="24"/>
        </w:rPr>
        <w:t>, enquanto a mesma legislação não existe</w:t>
      </w:r>
      <w:r w:rsidR="007F434E">
        <w:rPr>
          <w:rFonts w:ascii="Century Gothic" w:hAnsi="Century Gothic"/>
          <w:color w:val="595959"/>
          <w:sz w:val="24"/>
          <w:szCs w:val="24"/>
        </w:rPr>
        <w:t xml:space="preserve"> no caso dos centros de interpretação</w:t>
      </w:r>
      <w:r w:rsidRPr="002936E9">
        <w:rPr>
          <w:rFonts w:ascii="Century Gothic" w:hAnsi="Century Gothic"/>
          <w:color w:val="595959"/>
          <w:sz w:val="24"/>
          <w:szCs w:val="24"/>
        </w:rPr>
        <w:t xml:space="preserve">. A viabilidade do projecto, que agora se apresenta, dependerá não da dimensão orçamental mas da visão estratégica que se pretende </w:t>
      </w:r>
      <w:r w:rsidR="007F434E">
        <w:rPr>
          <w:rFonts w:ascii="Century Gothic" w:hAnsi="Century Gothic"/>
          <w:color w:val="595959"/>
          <w:sz w:val="24"/>
          <w:szCs w:val="24"/>
        </w:rPr>
        <w:t>imprimir n</w:t>
      </w:r>
      <w:r w:rsidRPr="002936E9">
        <w:rPr>
          <w:rFonts w:ascii="Century Gothic" w:hAnsi="Century Gothic"/>
          <w:color w:val="595959"/>
          <w:sz w:val="24"/>
          <w:szCs w:val="24"/>
        </w:rPr>
        <w:t xml:space="preserve">a valorização do sítio arqueológico. Em último caso poderá subsistir a indefinição da nomenclatura ou apelidar-se </w:t>
      </w:r>
      <w:r w:rsidR="005E64D4" w:rsidRPr="002936E9">
        <w:rPr>
          <w:rFonts w:ascii="Century Gothic" w:hAnsi="Century Gothic"/>
          <w:color w:val="595959"/>
          <w:sz w:val="24"/>
          <w:szCs w:val="24"/>
        </w:rPr>
        <w:t>de</w:t>
      </w:r>
      <w:r w:rsidRPr="002936E9">
        <w:rPr>
          <w:rFonts w:ascii="Century Gothic" w:hAnsi="Century Gothic"/>
          <w:color w:val="595959"/>
          <w:sz w:val="24"/>
          <w:szCs w:val="24"/>
        </w:rPr>
        <w:t xml:space="preserve"> centro de interpretação, quando na realidade se constituirá um museu, como sucede em alguns casos no território português. Cabe-nos alertar para o dispendioso que seria constituir-se um Centro de Interpretação e depois pretender transformá-lo em museu. </w:t>
      </w:r>
    </w:p>
    <w:p w14:paraId="3DDC8CFE" w14:textId="0688AAA3" w:rsidR="0085418F" w:rsidRPr="002936E9" w:rsidRDefault="0085418F" w:rsidP="002936E9">
      <w:pPr>
        <w:jc w:val="both"/>
        <w:rPr>
          <w:rFonts w:ascii="Century Gothic" w:hAnsi="Century Gothic"/>
          <w:color w:val="595959"/>
          <w:sz w:val="24"/>
          <w:szCs w:val="24"/>
        </w:rPr>
      </w:pPr>
      <w:r w:rsidRPr="002936E9">
        <w:rPr>
          <w:rFonts w:ascii="Century Gothic" w:hAnsi="Century Gothic"/>
          <w:color w:val="595959"/>
          <w:sz w:val="24"/>
          <w:szCs w:val="24"/>
        </w:rPr>
        <w:t>Não advog</w:t>
      </w:r>
      <w:r w:rsidRPr="002936E9">
        <w:rPr>
          <w:rFonts w:ascii="Century Gothic" w:hAnsi="Century Gothic"/>
          <w:color w:val="595959"/>
          <w:sz w:val="24"/>
          <w:szCs w:val="24"/>
        </w:rPr>
        <w:t>amos</w:t>
      </w:r>
      <w:r w:rsidRPr="002936E9">
        <w:rPr>
          <w:rFonts w:ascii="Century Gothic" w:hAnsi="Century Gothic"/>
          <w:color w:val="595959"/>
          <w:sz w:val="24"/>
          <w:szCs w:val="24"/>
        </w:rPr>
        <w:t xml:space="preserve"> que cada sítio arqueológico deva ter o seu museu, nem mesmo que todos justifiquem a instalação de um centro interpretativo, mas o caso de Tróia é paradigmático e destaca-se não só na história da arqueologia portuguesa, mas também paralelamente na história da própria museologia. Mais do que um centro interpretativo de um sítio arqueológico, um museu em Tróia pode representar uma luz sobre a arqueologia e a museologia nacional e, com base num sólido programa de investigação, constituir-se mais um factor de dessazonalização e de </w:t>
      </w:r>
      <w:r w:rsidRPr="002936E9">
        <w:rPr>
          <w:rFonts w:ascii="Century Gothic" w:hAnsi="Century Gothic"/>
          <w:color w:val="595959"/>
          <w:sz w:val="24"/>
          <w:szCs w:val="24"/>
        </w:rPr>
        <w:lastRenderedPageBreak/>
        <w:t>internacionalização da região, em</w:t>
      </w:r>
      <w:r w:rsidRPr="002936E9">
        <w:rPr>
          <w:rFonts w:ascii="Century Gothic" w:hAnsi="Century Gothic"/>
          <w:color w:val="595959"/>
          <w:sz w:val="24"/>
          <w:szCs w:val="24"/>
        </w:rPr>
        <w:t xml:space="preserve"> franco</w:t>
      </w:r>
      <w:r w:rsidRPr="002936E9">
        <w:rPr>
          <w:rFonts w:ascii="Century Gothic" w:hAnsi="Century Gothic"/>
          <w:color w:val="595959"/>
          <w:sz w:val="24"/>
          <w:szCs w:val="24"/>
        </w:rPr>
        <w:t xml:space="preserve"> desenvolvimento turístico, contribuindo para o desenvolvimento local e sua sustentabilidade. </w:t>
      </w:r>
    </w:p>
    <w:p w14:paraId="0AB6E998" w14:textId="6D8E13CF" w:rsidR="007831A3" w:rsidRPr="002936E9" w:rsidRDefault="007831A3" w:rsidP="002936E9">
      <w:pPr>
        <w:jc w:val="both"/>
        <w:rPr>
          <w:rFonts w:ascii="Century Gothic" w:hAnsi="Century Gothic"/>
          <w:color w:val="595959"/>
          <w:sz w:val="24"/>
          <w:szCs w:val="24"/>
        </w:rPr>
      </w:pPr>
      <w:r w:rsidRPr="002936E9">
        <w:rPr>
          <w:rFonts w:ascii="Century Gothic" w:hAnsi="Century Gothic"/>
          <w:color w:val="595959"/>
          <w:sz w:val="24"/>
          <w:szCs w:val="24"/>
        </w:rPr>
        <w:t>No panorama actual, devemos conter-nos ao propôr a criação de um novo espaço sem fins lucrativos, mas o projecto museológico de Tróia tem sido sucessivamente adiado e representa efectivamente uma lacuna no panorama nacional. Este projecto precisa de ser desenterrado das areias que o cobrem de forma a proporcionar o prosseguir do estudo deste património cultural excepcional no nosso país e que de</w:t>
      </w:r>
      <w:r w:rsidR="00952A22" w:rsidRPr="002936E9">
        <w:rPr>
          <w:rFonts w:ascii="Century Gothic" w:hAnsi="Century Gothic"/>
          <w:color w:val="595959"/>
          <w:sz w:val="24"/>
          <w:szCs w:val="24"/>
        </w:rPr>
        <w:t>ve</w:t>
      </w:r>
      <w:r w:rsidRPr="002936E9">
        <w:rPr>
          <w:rFonts w:ascii="Century Gothic" w:hAnsi="Century Gothic"/>
          <w:color w:val="595959"/>
          <w:sz w:val="24"/>
          <w:szCs w:val="24"/>
        </w:rPr>
        <w:t>rá também ser reconhecido internacionalmente.</w:t>
      </w:r>
    </w:p>
    <w:p w14:paraId="6BA791E5" w14:textId="77777777" w:rsidR="0085418F" w:rsidRPr="00B95908" w:rsidRDefault="0085418F" w:rsidP="0085418F">
      <w:pPr>
        <w:spacing w:before="120" w:after="120" w:line="360" w:lineRule="auto"/>
        <w:ind w:firstLine="567"/>
        <w:jc w:val="both"/>
        <w:rPr>
          <w:sz w:val="24"/>
          <w:szCs w:val="24"/>
        </w:rPr>
      </w:pPr>
    </w:p>
    <w:p w14:paraId="13F3CCF1" w14:textId="3D1DBF5E" w:rsidR="004604D9" w:rsidRDefault="002936E9">
      <w:r>
        <w:rPr>
          <w:rFonts w:ascii="Century Gothic" w:hAnsi="Century Gothic"/>
          <w:color w:val="595959"/>
          <w:sz w:val="20"/>
          <w:szCs w:val="20"/>
        </w:rPr>
        <w:t>BRUM, P. (2014) "Contributos para a programação museológica do acervo arqueológico romano de Tróia. Museu ou Centro de Interpretação?", FCSH-UNL, Tese de Mestrado.</w:t>
      </w:r>
    </w:p>
    <w:sectPr w:rsidR="004604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0DEB6" w14:textId="77777777" w:rsidR="00B9621B" w:rsidRDefault="00B9621B" w:rsidP="00481EE9">
      <w:pPr>
        <w:spacing w:after="0" w:line="240" w:lineRule="auto"/>
      </w:pPr>
      <w:r>
        <w:separator/>
      </w:r>
    </w:p>
  </w:endnote>
  <w:endnote w:type="continuationSeparator" w:id="0">
    <w:p w14:paraId="2E3C104F" w14:textId="77777777" w:rsidR="00B9621B" w:rsidRDefault="00B9621B" w:rsidP="00481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91665" w14:textId="77777777" w:rsidR="00B9621B" w:rsidRDefault="00B9621B" w:rsidP="00481EE9">
      <w:pPr>
        <w:spacing w:after="0" w:line="240" w:lineRule="auto"/>
      </w:pPr>
      <w:r>
        <w:separator/>
      </w:r>
    </w:p>
  </w:footnote>
  <w:footnote w:type="continuationSeparator" w:id="0">
    <w:p w14:paraId="01195D40" w14:textId="77777777" w:rsidR="00B9621B" w:rsidRDefault="00B9621B" w:rsidP="00481EE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EE9"/>
    <w:rsid w:val="000D2120"/>
    <w:rsid w:val="002936E9"/>
    <w:rsid w:val="00404415"/>
    <w:rsid w:val="0041765D"/>
    <w:rsid w:val="004604D9"/>
    <w:rsid w:val="00481EE9"/>
    <w:rsid w:val="005E64D4"/>
    <w:rsid w:val="007448DC"/>
    <w:rsid w:val="007831A3"/>
    <w:rsid w:val="007F434E"/>
    <w:rsid w:val="0085418F"/>
    <w:rsid w:val="00952A22"/>
    <w:rsid w:val="00B9621B"/>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421C0"/>
  <w15:chartTrackingRefBased/>
  <w15:docId w15:val="{8930FD63-580C-4289-8F41-03BC10577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EE9"/>
    <w:pPr>
      <w:spacing w:after="200" w:line="276" w:lineRule="auto"/>
    </w:p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fase">
    <w:name w:val="Emphasis"/>
    <w:basedOn w:val="Tipodeletrapredefinidodopargrafo"/>
    <w:uiPriority w:val="20"/>
    <w:qFormat/>
    <w:rsid w:val="00481EE9"/>
    <w:rPr>
      <w:i/>
      <w:iCs/>
    </w:rPr>
  </w:style>
  <w:style w:type="paragraph" w:styleId="Textodenotaderodap">
    <w:name w:val="footnote text"/>
    <w:basedOn w:val="Normal"/>
    <w:link w:val="TextodenotaderodapCarter"/>
    <w:uiPriority w:val="99"/>
    <w:unhideWhenUsed/>
    <w:rsid w:val="00481EE9"/>
    <w:pPr>
      <w:spacing w:after="0" w:line="240" w:lineRule="auto"/>
    </w:pPr>
    <w:rPr>
      <w:sz w:val="20"/>
      <w:szCs w:val="20"/>
    </w:rPr>
  </w:style>
  <w:style w:type="character" w:customStyle="1" w:styleId="TextodenotaderodapCarter">
    <w:name w:val="Texto de nota de rodapé Caráter"/>
    <w:basedOn w:val="Tipodeletrapredefinidodopargrafo"/>
    <w:link w:val="Textodenotaderodap"/>
    <w:uiPriority w:val="99"/>
    <w:rsid w:val="00481EE9"/>
    <w:rPr>
      <w:sz w:val="20"/>
      <w:szCs w:val="20"/>
    </w:rPr>
  </w:style>
  <w:style w:type="character" w:styleId="Refdenotaderodap">
    <w:name w:val="footnote reference"/>
    <w:basedOn w:val="Tipodeletrapredefinidodopargrafo"/>
    <w:uiPriority w:val="99"/>
    <w:semiHidden/>
    <w:unhideWhenUsed/>
    <w:rsid w:val="00481EE9"/>
    <w:rPr>
      <w:vertAlign w:val="superscript"/>
    </w:rPr>
  </w:style>
  <w:style w:type="paragraph" w:styleId="PargrafodaLista">
    <w:name w:val="List Paragraph"/>
    <w:basedOn w:val="Normal"/>
    <w:uiPriority w:val="34"/>
    <w:qFormat/>
    <w:rsid w:val="0041765D"/>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3</Pages>
  <Words>905</Words>
  <Characters>4890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Patrícia Brum</dc:creator>
  <cp:keywords/>
  <dc:description/>
  <cp:lastModifiedBy>Patrícia Brum</cp:lastModifiedBy>
  <cp:revision>5</cp:revision>
  <dcterms:created xsi:type="dcterms:W3CDTF">2022-10-19T14:31:00Z</dcterms:created>
  <dcterms:modified xsi:type="dcterms:W3CDTF">2022-10-19T16:54:00Z</dcterms:modified>
</cp:coreProperties>
</file>