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5A1C0" w14:textId="5F2C3496" w:rsidR="007D4748" w:rsidRPr="007D4748" w:rsidRDefault="007D4748" w:rsidP="00F27FFA">
      <w:pPr>
        <w:rPr>
          <w:rFonts w:asciiTheme="majorHAnsi" w:hAnsiTheme="majorHAnsi" w:cstheme="majorHAnsi"/>
          <w:b/>
          <w:i/>
          <w:sz w:val="28"/>
          <w:lang w:val="it-IT"/>
        </w:rPr>
      </w:pPr>
      <w:r w:rsidRPr="007D4748">
        <w:rPr>
          <w:rFonts w:asciiTheme="majorHAnsi" w:hAnsiTheme="majorHAnsi" w:cstheme="majorHAnsi"/>
          <w:b/>
          <w:i/>
          <w:sz w:val="28"/>
          <w:lang w:val="it-IT"/>
        </w:rPr>
        <w:t>Le sezioni della mostra</w:t>
      </w:r>
    </w:p>
    <w:p w14:paraId="7D4C8EB1" w14:textId="77777777" w:rsidR="00F27FFA" w:rsidRDefault="00F27FFA" w:rsidP="00F27FFA">
      <w:pPr>
        <w:rPr>
          <w:rFonts w:asciiTheme="majorHAnsi" w:hAnsiTheme="majorHAnsi" w:cstheme="majorHAnsi"/>
          <w:lang w:val="it-IT"/>
        </w:rPr>
      </w:pPr>
    </w:p>
    <w:p w14:paraId="5BCA3A10" w14:textId="6F7507D9"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I. GLI EVENTI, I PROTAGONISTI</w:t>
      </w:r>
    </w:p>
    <w:p w14:paraId="78224D61"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 xml:space="preserve">L’apertura della mostra è riservata ai motivi ispiratori dell’evento e ad una linea del tempo che introduce il pubblico al quadro geopolitico e alla cronologia delle principali vicende storiche al centro della narrazione, con i suoi protagonisti principali. </w:t>
      </w:r>
    </w:p>
    <w:p w14:paraId="56FF6CB6" w14:textId="77777777" w:rsidR="007D4748" w:rsidRPr="007D4748" w:rsidRDefault="007D4748" w:rsidP="007D4748">
      <w:pPr>
        <w:jc w:val="both"/>
        <w:rPr>
          <w:rFonts w:asciiTheme="majorHAnsi" w:hAnsiTheme="majorHAnsi" w:cstheme="majorHAnsi"/>
          <w:sz w:val="22"/>
          <w:lang w:val="it-IT"/>
        </w:rPr>
      </w:pPr>
    </w:p>
    <w:p w14:paraId="1FFA604E" w14:textId="2EF9EBCE"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II. IL MEDITERRANEO PRIMA DI ANNIBALE</w:t>
      </w:r>
    </w:p>
    <w:p w14:paraId="634D502C"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Grecia, Cartagine e Roma, le massime potenze del tempo in cui prende avvio l’avventura di Annibale, dominano da protagoniste sullo scenario del Mediterraneo, l’orizzonte culturale e geografico che da sempre lega insieme genti e paesi in una trama unitaria di simboli e di miti.</w:t>
      </w:r>
    </w:p>
    <w:p w14:paraId="28099EE6" w14:textId="77777777" w:rsidR="007D4748" w:rsidRPr="007D4748" w:rsidRDefault="007D4748" w:rsidP="007D4748">
      <w:pPr>
        <w:jc w:val="both"/>
        <w:rPr>
          <w:rFonts w:asciiTheme="majorHAnsi" w:hAnsiTheme="majorHAnsi" w:cstheme="majorHAnsi"/>
          <w:sz w:val="22"/>
          <w:lang w:val="it-IT"/>
        </w:rPr>
      </w:pPr>
    </w:p>
    <w:p w14:paraId="14219B26" w14:textId="6EEC9ECE"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III. CARTAGINE E ROMA</w:t>
      </w:r>
    </w:p>
    <w:p w14:paraId="6849C01E"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 xml:space="preserve">La sezione è dedicata al periodo storico (III secolo a.C.) in cui si scontrano tra loro le potenze di Roma e Cartagine, sulla scia di un odio mitico che trae la sua origine nel sacrificio della regina cartaginese </w:t>
      </w:r>
      <w:proofErr w:type="spellStart"/>
      <w:r w:rsidRPr="007D4748">
        <w:rPr>
          <w:rFonts w:asciiTheme="majorHAnsi" w:hAnsiTheme="majorHAnsi" w:cstheme="majorHAnsi"/>
          <w:sz w:val="22"/>
          <w:lang w:val="it-IT"/>
        </w:rPr>
        <w:t>Didone</w:t>
      </w:r>
      <w:proofErr w:type="spellEnd"/>
      <w:r w:rsidRPr="007D4748">
        <w:rPr>
          <w:rFonts w:asciiTheme="majorHAnsi" w:hAnsiTheme="majorHAnsi" w:cstheme="majorHAnsi"/>
          <w:sz w:val="22"/>
          <w:lang w:val="it-IT"/>
        </w:rPr>
        <w:t>, narrato da Virgilio: Roma, stato in ascesa sul suolo italico, voleva confermare la sua posizione di forza, anche attraverso l’espansione nell’Italia del Nord; Cartagine, potenza marittima mediterranea dominata dalla dinastia militare della famiglia Barca, intendeva recuperare il ruolo di potenza che l’esito della prima guerra punica (264- 241 a.C.) aveva compromesso Gli anni che seguono, con Roma determinata a ridimensionare la potenza nemica, saranno segnati dalla sconfitta di Cartagine in Sardegna nel 237 a.C., sancita da un accordo umiliante che fu la probabile premessa della seconda guerra punica. Poi la presa di Sagunto, alleata dei Romani, e l’avanzata in Spagna da parte delle forze armate cartaginesi guidate da Annibale (219 a.C.) saranno il motivo scatenante dell’inizio della guerra.</w:t>
      </w:r>
    </w:p>
    <w:p w14:paraId="705C2B64" w14:textId="77777777" w:rsidR="007D4748" w:rsidRPr="007D4748" w:rsidRDefault="007D4748" w:rsidP="007D4748">
      <w:pPr>
        <w:jc w:val="both"/>
        <w:rPr>
          <w:rFonts w:asciiTheme="majorHAnsi" w:hAnsiTheme="majorHAnsi" w:cstheme="majorHAnsi"/>
          <w:sz w:val="22"/>
          <w:lang w:val="it-IT"/>
        </w:rPr>
      </w:pPr>
    </w:p>
    <w:p w14:paraId="1AF99C22" w14:textId="57F8C814"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IV. ANNIBALE</w:t>
      </w:r>
    </w:p>
    <w:p w14:paraId="74E7811E"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Sullo sfondo di questo panorama politico, assumono grande rilievo la politica della famiglia cartaginese dei Barca e la formazione culturale di Annibale, nato nel 247 a Cartagine. La mostra racconta della sua educazione raffinata, delle profonde competenze in economia e agronomia, eloquenza, discipline sacerdotali, della sua  conoscenza di molte lingue, del profondo amore per l’arte e  della sua vocazione alla guerra che nasce con l’episodio del giuramento di odio eterno verso il popolo romano, pronunciato da bambino alla presenza del padre Amilcare. Fondamentale per la sua formazione fu la venerazione per Eracle-</w:t>
      </w:r>
      <w:proofErr w:type="spellStart"/>
      <w:r w:rsidRPr="007D4748">
        <w:rPr>
          <w:rFonts w:asciiTheme="majorHAnsi" w:hAnsiTheme="majorHAnsi" w:cstheme="majorHAnsi"/>
          <w:sz w:val="22"/>
          <w:lang w:val="it-IT"/>
        </w:rPr>
        <w:t>Melquart</w:t>
      </w:r>
      <w:proofErr w:type="spellEnd"/>
      <w:r w:rsidRPr="007D4748">
        <w:rPr>
          <w:rFonts w:asciiTheme="majorHAnsi" w:hAnsiTheme="majorHAnsi" w:cstheme="majorHAnsi"/>
          <w:sz w:val="22"/>
          <w:lang w:val="it-IT"/>
        </w:rPr>
        <w:t>, il mitico semidio radicato nell’immaginario di tutte le popolazioni del Mediterraneo che fu per lui, fino alla fine dei suoi giorni, ispiratore e guida.</w:t>
      </w:r>
    </w:p>
    <w:p w14:paraId="705141A6" w14:textId="77777777" w:rsidR="007D4748" w:rsidRPr="007D4748" w:rsidRDefault="007D4748" w:rsidP="007D4748">
      <w:pPr>
        <w:jc w:val="both"/>
        <w:rPr>
          <w:rFonts w:asciiTheme="majorHAnsi" w:hAnsiTheme="majorHAnsi" w:cstheme="majorHAnsi"/>
          <w:sz w:val="22"/>
          <w:lang w:val="it-IT"/>
        </w:rPr>
      </w:pPr>
    </w:p>
    <w:p w14:paraId="785070EA" w14:textId="20998348"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L’ASCESA DI ANNIBALE</w:t>
      </w:r>
    </w:p>
    <w:p w14:paraId="4108CBB3"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Inizia il racconto del viaggio di Annibale verso le Alpi, sulle orme di Eracle. Dopo aver seguito il padre in Spagna, a soli nove anni, trascorrendo poi adolescenza e giovinezza tra i soldati, nel 221 gli veniva affidato il comando supremo delle forze armate cartaginesi, fino alla presa di Sagunto (219 a.C.), che portò all’inizio della seconda guerra punica. Prese avvio così un conflitto epocale che inflisse a Roma una sequenza di sanguinose sconfitte e battaglie in tutta la penisola e coinvolse nei suoi sviluppi oltre la metà del mondo conosciuto. Dopo il valico dei Pirenei, risalendo quindi Spagna e Gallia meridionale, Annibale compie il romanzesco attraversamento del fiume Rodano con i suoi elefanti, su un ponte di barche. Da lì nel 218 avanzerà verso le Alpi e l’Italia.</w:t>
      </w:r>
    </w:p>
    <w:p w14:paraId="097B7443" w14:textId="77777777" w:rsidR="007D4748" w:rsidRPr="007D4748" w:rsidRDefault="007D4748" w:rsidP="007D4748">
      <w:pPr>
        <w:jc w:val="both"/>
        <w:rPr>
          <w:rFonts w:asciiTheme="majorHAnsi" w:hAnsiTheme="majorHAnsi" w:cstheme="majorHAnsi"/>
          <w:sz w:val="22"/>
          <w:lang w:val="it-IT"/>
        </w:rPr>
      </w:pPr>
    </w:p>
    <w:p w14:paraId="6027E6D6" w14:textId="5A3DD901"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LA VALLE DEL PO</w:t>
      </w:r>
    </w:p>
    <w:p w14:paraId="75CF77EE"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La decisione di Annibale di entrare in Italia per terra lo indusse a scegliere i valichi interni delle Alpi, con l’intento di reclutare al suo passaggio uomini delle popolazioni celtiche favorevoli alla sua presenza in Italia. Restano poche tracce del passaggio in questi territori e delle successive guerre; una testimonianza invece della cultura delle popolazioni incontrate nella sua discesa viene restituita dalle fonti storiche e da molti ritrovamenti archeologici, da abitati, luoghi di culto e necropoli.</w:t>
      </w:r>
    </w:p>
    <w:p w14:paraId="3338DDA6" w14:textId="77777777" w:rsidR="007D4748" w:rsidRPr="007D4748" w:rsidRDefault="007D4748" w:rsidP="007D4748">
      <w:pPr>
        <w:jc w:val="both"/>
        <w:rPr>
          <w:rFonts w:asciiTheme="majorHAnsi" w:hAnsiTheme="majorHAnsi" w:cstheme="majorHAnsi"/>
          <w:sz w:val="22"/>
          <w:lang w:val="it-IT"/>
        </w:rPr>
      </w:pPr>
    </w:p>
    <w:p w14:paraId="279BEA45" w14:textId="6F141A5D"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V. LA TRAVERSATA DELLE ALPI</w:t>
      </w:r>
    </w:p>
    <w:p w14:paraId="23771F0D"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 xml:space="preserve">Una proiezione </w:t>
      </w:r>
      <w:proofErr w:type="spellStart"/>
      <w:r w:rsidRPr="007D4748">
        <w:rPr>
          <w:rFonts w:asciiTheme="majorHAnsi" w:hAnsiTheme="majorHAnsi" w:cstheme="majorHAnsi"/>
          <w:sz w:val="22"/>
          <w:lang w:val="it-IT"/>
        </w:rPr>
        <w:t>immersiva</w:t>
      </w:r>
      <w:proofErr w:type="spellEnd"/>
      <w:r w:rsidRPr="007D4748">
        <w:rPr>
          <w:rFonts w:asciiTheme="majorHAnsi" w:hAnsiTheme="majorHAnsi" w:cstheme="majorHAnsi"/>
          <w:sz w:val="22"/>
          <w:lang w:val="it-IT"/>
        </w:rPr>
        <w:t xml:space="preserve"> accompagna il pubblico nella romanzesca traversata delle Alpi insieme ad Annibale e al suo esercito: un’impresa leggendaria per le difficoltà determinate dal clima e dall’inaccessibilità dei luoghi.</w:t>
      </w:r>
    </w:p>
    <w:p w14:paraId="2BEF023A" w14:textId="77777777" w:rsidR="007D4748" w:rsidRPr="007D4748" w:rsidRDefault="007D4748" w:rsidP="007D4748">
      <w:pPr>
        <w:jc w:val="both"/>
        <w:rPr>
          <w:rFonts w:asciiTheme="majorHAnsi" w:hAnsiTheme="majorHAnsi" w:cstheme="majorHAnsi"/>
          <w:sz w:val="22"/>
          <w:lang w:val="it-IT"/>
        </w:rPr>
      </w:pPr>
    </w:p>
    <w:p w14:paraId="0B353002" w14:textId="4F21AA96"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VI. ANNIBALE ALLE ALPI</w:t>
      </w:r>
    </w:p>
    <w:p w14:paraId="127F7467"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Il viaggio attraverso le Alpi diventa un mito, celebrato da pittori e incisori di varie epoche. Di queste opere la mostra offre un’inedita e sorprendente rassegna arricchita dall’esposizione di due eccezionali reperti archeologici che illustrano uno dei più leggendari strumenti utilizzati dal condottiero nella sua impresa: gli elefanti.</w:t>
      </w:r>
    </w:p>
    <w:p w14:paraId="3EA14552" w14:textId="77777777" w:rsidR="007D4748" w:rsidRPr="007D4748" w:rsidRDefault="007D4748" w:rsidP="007D4748">
      <w:pPr>
        <w:jc w:val="both"/>
        <w:rPr>
          <w:rFonts w:asciiTheme="majorHAnsi" w:hAnsiTheme="majorHAnsi" w:cstheme="majorHAnsi"/>
          <w:sz w:val="22"/>
          <w:lang w:val="it-IT"/>
        </w:rPr>
      </w:pPr>
    </w:p>
    <w:p w14:paraId="4BED3394" w14:textId="14D79DDD"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 xml:space="preserve">VII. CARTAGINE CONTRO ROMA </w:t>
      </w:r>
    </w:p>
    <w:p w14:paraId="65E097F8"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Un esercito mercenario ciecamente fedele ad Annibale, composto da Libi, Baleari, Berberi e veterani che avevano combattuto a lungo in Spagna, affronta le poderose truppe romane, più consistenti nei numeri ma più lente, formate da reclute valorose ma poco addestrate. Soldati, armi e tattiche a confronto e il nuovo sistema d’attacco sperimentato da Annibale, la manovra avvolgente, basata sull’arretramento frontale e sull’accerchiamento laterale.</w:t>
      </w:r>
    </w:p>
    <w:p w14:paraId="7432F1D0" w14:textId="77777777" w:rsidR="007D4748" w:rsidRPr="007D4748" w:rsidRDefault="007D4748" w:rsidP="007D4748">
      <w:pPr>
        <w:jc w:val="both"/>
        <w:rPr>
          <w:rFonts w:asciiTheme="majorHAnsi" w:hAnsiTheme="majorHAnsi" w:cstheme="majorHAnsi"/>
          <w:sz w:val="22"/>
          <w:lang w:val="it-IT"/>
        </w:rPr>
      </w:pPr>
    </w:p>
    <w:p w14:paraId="6173A7E7" w14:textId="44AA744E"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 xml:space="preserve">VIII. PIACENZA,IL CONFINE DELL’ITALIA ROMANA </w:t>
      </w:r>
    </w:p>
    <w:p w14:paraId="2CFD4620"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 xml:space="preserve">L’arrivo di Annibale nella pianura padana, il ruolo della colonia latina di </w:t>
      </w:r>
      <w:proofErr w:type="spellStart"/>
      <w:r w:rsidRPr="007D4748">
        <w:rPr>
          <w:rFonts w:asciiTheme="majorHAnsi" w:hAnsiTheme="majorHAnsi" w:cstheme="majorHAnsi"/>
          <w:sz w:val="22"/>
          <w:lang w:val="it-IT"/>
        </w:rPr>
        <w:t>Placentia</w:t>
      </w:r>
      <w:proofErr w:type="spellEnd"/>
      <w:r w:rsidRPr="007D4748">
        <w:rPr>
          <w:rFonts w:asciiTheme="majorHAnsi" w:hAnsiTheme="majorHAnsi" w:cstheme="majorHAnsi"/>
          <w:sz w:val="22"/>
          <w:lang w:val="it-IT"/>
        </w:rPr>
        <w:t>, fondata insieme a Cremona a cavallo del Po, baluardo di Roma verso nord. Le battaglie vittoriose prima sul Ticino e poi al Trebbia sullo sfondo di un panorama culturale che vede Piacenza protagonista di grandi mutamenti e sovrapposizioni, tra il substrato etrusco-italico, gli influssi ellenistici dall’Adriatico, le tradizioni celtiche, le spinte di romanizzazione dei primi coloni.</w:t>
      </w:r>
    </w:p>
    <w:p w14:paraId="0B78011C" w14:textId="77777777" w:rsidR="007D4748" w:rsidRPr="007D4748" w:rsidRDefault="007D4748" w:rsidP="007D4748">
      <w:pPr>
        <w:jc w:val="both"/>
        <w:rPr>
          <w:rFonts w:asciiTheme="majorHAnsi" w:hAnsiTheme="majorHAnsi" w:cstheme="majorHAnsi"/>
          <w:sz w:val="22"/>
          <w:lang w:val="it-IT"/>
        </w:rPr>
      </w:pPr>
    </w:p>
    <w:p w14:paraId="15CF4D97" w14:textId="51097D72"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IX. LA SECONDA GUERRA PUNICA</w:t>
      </w:r>
    </w:p>
    <w:p w14:paraId="4CE05918"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Le grandi battaglie rivivono attraverso proiezioni che ne raccontano tattiche ed esiti: le vittorie al Ticino, al Trebbia e poi verso il centro e sud dell’Italia, al Trasimeno e a Canne. Ad esse seguirà però il declino, negli anni trascorsi tra Italia meridionale e ritorno in Africa, fino alla sconfitta definitiva a Zama.</w:t>
      </w:r>
    </w:p>
    <w:p w14:paraId="55C6D33F" w14:textId="77777777" w:rsidR="007D4748" w:rsidRPr="007D4748" w:rsidRDefault="007D4748" w:rsidP="007D4748">
      <w:pPr>
        <w:jc w:val="both"/>
        <w:rPr>
          <w:rFonts w:asciiTheme="majorHAnsi" w:hAnsiTheme="majorHAnsi" w:cstheme="majorHAnsi"/>
          <w:sz w:val="22"/>
          <w:lang w:val="it-IT"/>
        </w:rPr>
      </w:pPr>
    </w:p>
    <w:p w14:paraId="47A2F672" w14:textId="4C2A81F8"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X. “NON RIVEDRÒ CARTAGINE MAI PIÙ”</w:t>
      </w:r>
    </w:p>
    <w:p w14:paraId="51D55618"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La parte finale del percorso racconta la battaglia di Zama e la sconfitta da parte del suo storico avversario, Scipione l’Africano, che segnano la fine della potenza di Cartagine e del suo condottiero. Comincerà per lui un nuovo e definitivo periodo di esilio dalla sua terra, tra Siria e Bitinia, vissuto tra rimpianti, delusioni e orgogliosa e indomabile sete di rivincita, fino al 183 a.C., anno del suo suicidio. Qui termina la sua vita ma il suo mito resiste nel tempo.</w:t>
      </w:r>
    </w:p>
    <w:p w14:paraId="0054B907" w14:textId="77777777" w:rsidR="007D4748" w:rsidRPr="007D4748" w:rsidRDefault="007D4748" w:rsidP="007D4748">
      <w:pPr>
        <w:jc w:val="both"/>
        <w:rPr>
          <w:rFonts w:asciiTheme="majorHAnsi" w:hAnsiTheme="majorHAnsi" w:cstheme="majorHAnsi"/>
          <w:sz w:val="22"/>
          <w:lang w:val="it-IT"/>
        </w:rPr>
      </w:pPr>
    </w:p>
    <w:p w14:paraId="4D4B0102" w14:textId="77777777" w:rsidR="007D4748" w:rsidRPr="007D4748" w:rsidRDefault="007D4748" w:rsidP="007D4748">
      <w:pPr>
        <w:jc w:val="both"/>
        <w:rPr>
          <w:rFonts w:asciiTheme="majorHAnsi" w:hAnsiTheme="majorHAnsi" w:cstheme="majorHAnsi"/>
          <w:b/>
          <w:sz w:val="22"/>
          <w:lang w:val="it-IT"/>
        </w:rPr>
      </w:pPr>
      <w:r w:rsidRPr="007D4748">
        <w:rPr>
          <w:rFonts w:asciiTheme="majorHAnsi" w:hAnsiTheme="majorHAnsi" w:cstheme="majorHAnsi"/>
          <w:b/>
          <w:sz w:val="22"/>
          <w:lang w:val="it-IT"/>
        </w:rPr>
        <w:t>SALA CINEMA</w:t>
      </w:r>
    </w:p>
    <w:p w14:paraId="51727DCC" w14:textId="77777777"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La mostra propone anche uno spazio per la proiezione di sequenze cinematografiche dedicate ad Annibale e alle sue imprese. Tra queste “Cabiria” (1914), ritenuto la più celebre pellicola italiana del cinema muto, di cui sono in esposizione alcuni dei costumi originali.</w:t>
      </w:r>
    </w:p>
    <w:p w14:paraId="3050DBB1" w14:textId="20BFFC70" w:rsidR="007D4748" w:rsidRPr="007D4748" w:rsidRDefault="007D4748" w:rsidP="007D4748">
      <w:pPr>
        <w:jc w:val="both"/>
        <w:rPr>
          <w:rFonts w:asciiTheme="majorHAnsi" w:hAnsiTheme="majorHAnsi" w:cstheme="majorHAnsi"/>
          <w:sz w:val="22"/>
          <w:lang w:val="it-IT"/>
        </w:rPr>
      </w:pPr>
      <w:r w:rsidRPr="007D4748">
        <w:rPr>
          <w:rFonts w:asciiTheme="majorHAnsi" w:hAnsiTheme="majorHAnsi" w:cstheme="majorHAnsi"/>
          <w:sz w:val="22"/>
          <w:lang w:val="it-IT"/>
        </w:rPr>
        <w:t>Nella stessa sala proiezione del cortometraggio “Annibale mito immortale”, realizzato da Aldo Zappal</w:t>
      </w:r>
      <w:r>
        <w:rPr>
          <w:rFonts w:asciiTheme="majorHAnsi" w:hAnsiTheme="majorHAnsi" w:cstheme="majorHAnsi"/>
          <w:sz w:val="22"/>
          <w:lang w:val="it-IT"/>
        </w:rPr>
        <w:t xml:space="preserve">à appositamente per l’evento. </w:t>
      </w:r>
      <w:bookmarkStart w:id="0" w:name="_GoBack"/>
      <w:bookmarkEnd w:id="0"/>
    </w:p>
    <w:p w14:paraId="6A22BB9E" w14:textId="09C342F4" w:rsidR="00F27FFA" w:rsidRPr="00F27FFA" w:rsidRDefault="00F27FFA" w:rsidP="007D4748">
      <w:pPr>
        <w:jc w:val="both"/>
        <w:rPr>
          <w:rFonts w:asciiTheme="majorHAnsi" w:hAnsiTheme="majorHAnsi" w:cstheme="majorHAnsi"/>
          <w:lang w:val="it-IT"/>
        </w:rPr>
      </w:pPr>
    </w:p>
    <w:sectPr w:rsidR="00F27FFA" w:rsidRPr="00F27FFA" w:rsidSect="00F27FFA">
      <w:headerReference w:type="default" r:id="rId7"/>
      <w:footerReference w:type="default" r:id="rId8"/>
      <w:pgSz w:w="11900" w:h="16840"/>
      <w:pgMar w:top="1701" w:right="1134" w:bottom="170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84BE4" w14:textId="77777777" w:rsidR="005B5914" w:rsidRDefault="005B5914" w:rsidP="005B5914">
      <w:r>
        <w:separator/>
      </w:r>
    </w:p>
  </w:endnote>
  <w:endnote w:type="continuationSeparator" w:id="0">
    <w:p w14:paraId="75C33D19" w14:textId="77777777" w:rsidR="005B5914" w:rsidRDefault="005B5914" w:rsidP="005B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894871" w14:textId="70B48853" w:rsidR="005B5914" w:rsidRDefault="003608EC" w:rsidP="005B5914">
    <w:pPr>
      <w:pStyle w:val="Pidipagina"/>
      <w:ind w:left="-1134"/>
    </w:pPr>
    <w:r>
      <w:rPr>
        <w:rFonts w:hint="eastAsia"/>
        <w:noProof/>
        <w:lang w:val="it-IT"/>
      </w:rPr>
      <w:drawing>
        <wp:inline distT="0" distB="0" distL="0" distR="0" wp14:anchorId="58DED1C3" wp14:editId="49759FCE">
          <wp:extent cx="7562850" cy="733425"/>
          <wp:effectExtent l="0" t="0" r="0"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DE_Tavola disegno 1 copia 3.jpg"/>
                  <pic:cNvPicPr/>
                </pic:nvPicPr>
                <pic:blipFill rotWithShape="1">
                  <a:blip r:embed="rId1">
                    <a:extLst>
                      <a:ext uri="{28A0092B-C50C-407E-A947-70E740481C1C}">
                        <a14:useLocalDpi xmlns:a14="http://schemas.microsoft.com/office/drawing/2010/main" val="0"/>
                      </a:ext>
                    </a:extLst>
                  </a:blip>
                  <a:srcRect b="13384"/>
                  <a:stretch/>
                </pic:blipFill>
                <pic:spPr bwMode="auto">
                  <a:xfrm>
                    <a:off x="0" y="0"/>
                    <a:ext cx="7562874" cy="733427"/>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06DE2" w14:textId="77777777" w:rsidR="005B5914" w:rsidRDefault="005B5914" w:rsidP="005B5914">
      <w:r>
        <w:separator/>
      </w:r>
    </w:p>
  </w:footnote>
  <w:footnote w:type="continuationSeparator" w:id="0">
    <w:p w14:paraId="164FF30D" w14:textId="77777777" w:rsidR="005B5914" w:rsidRDefault="005B5914" w:rsidP="005B5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34A1E" w14:textId="77777777" w:rsidR="005B5914" w:rsidRDefault="005B5914" w:rsidP="005B5914">
    <w:pPr>
      <w:pStyle w:val="Intestazione"/>
      <w:ind w:left="-1134"/>
    </w:pPr>
    <w:r>
      <w:rPr>
        <w:rFonts w:hint="eastAsia"/>
        <w:noProof/>
        <w:lang w:val="it-IT"/>
      </w:rPr>
      <w:drawing>
        <wp:inline distT="0" distB="0" distL="0" distR="0" wp14:anchorId="2B08530C" wp14:editId="7966B06C">
          <wp:extent cx="7552267" cy="1378414"/>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A_Tavola disegno 1 copia 2.jpg"/>
                  <pic:cNvPicPr/>
                </pic:nvPicPr>
                <pic:blipFill>
                  <a:blip r:embed="rId1">
                    <a:extLst>
                      <a:ext uri="{28A0092B-C50C-407E-A947-70E740481C1C}">
                        <a14:useLocalDpi xmlns:a14="http://schemas.microsoft.com/office/drawing/2010/main" val="0"/>
                      </a:ext>
                    </a:extLst>
                  </a:blip>
                  <a:stretch>
                    <a:fillRect/>
                  </a:stretch>
                </pic:blipFill>
                <pic:spPr>
                  <a:xfrm>
                    <a:off x="0" y="0"/>
                    <a:ext cx="7552267" cy="137841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914"/>
    <w:rsid w:val="00040297"/>
    <w:rsid w:val="000967EC"/>
    <w:rsid w:val="000A3D3B"/>
    <w:rsid w:val="000C0D3E"/>
    <w:rsid w:val="001402C9"/>
    <w:rsid w:val="001B3BC6"/>
    <w:rsid w:val="002061F6"/>
    <w:rsid w:val="00336D2E"/>
    <w:rsid w:val="003608EC"/>
    <w:rsid w:val="00393EA5"/>
    <w:rsid w:val="004B4E4E"/>
    <w:rsid w:val="005B5914"/>
    <w:rsid w:val="00635604"/>
    <w:rsid w:val="00656272"/>
    <w:rsid w:val="006F06BA"/>
    <w:rsid w:val="007324B1"/>
    <w:rsid w:val="007D4748"/>
    <w:rsid w:val="00845BE0"/>
    <w:rsid w:val="008943BE"/>
    <w:rsid w:val="008B66B3"/>
    <w:rsid w:val="00995A7A"/>
    <w:rsid w:val="00A9158C"/>
    <w:rsid w:val="00B93C4F"/>
    <w:rsid w:val="00C767B8"/>
    <w:rsid w:val="00DC47A0"/>
    <w:rsid w:val="00E3555A"/>
    <w:rsid w:val="00ED0B3B"/>
    <w:rsid w:val="00F27FF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0CFE00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B5914"/>
    <w:pPr>
      <w:tabs>
        <w:tab w:val="center" w:pos="4819"/>
        <w:tab w:val="right" w:pos="9638"/>
      </w:tabs>
    </w:pPr>
  </w:style>
  <w:style w:type="character" w:customStyle="1" w:styleId="IntestazioneCarattere">
    <w:name w:val="Intestazione Carattere"/>
    <w:basedOn w:val="Carpredefinitoparagrafo"/>
    <w:link w:val="Intestazione"/>
    <w:uiPriority w:val="99"/>
    <w:rsid w:val="005B5914"/>
    <w:rPr>
      <w:lang w:val="en-US"/>
    </w:rPr>
  </w:style>
  <w:style w:type="paragraph" w:styleId="Pidipagina">
    <w:name w:val="footer"/>
    <w:basedOn w:val="Normale"/>
    <w:link w:val="PidipaginaCarattere"/>
    <w:uiPriority w:val="99"/>
    <w:unhideWhenUsed/>
    <w:rsid w:val="005B5914"/>
    <w:pPr>
      <w:tabs>
        <w:tab w:val="center" w:pos="4819"/>
        <w:tab w:val="right" w:pos="9638"/>
      </w:tabs>
    </w:pPr>
  </w:style>
  <w:style w:type="character" w:customStyle="1" w:styleId="PidipaginaCarattere">
    <w:name w:val="Piè di pagina Carattere"/>
    <w:basedOn w:val="Carpredefinitoparagrafo"/>
    <w:link w:val="Pidipagina"/>
    <w:uiPriority w:val="99"/>
    <w:rsid w:val="005B5914"/>
    <w:rPr>
      <w:lang w:val="en-US"/>
    </w:rPr>
  </w:style>
  <w:style w:type="paragraph" w:styleId="Testofumetto">
    <w:name w:val="Balloon Text"/>
    <w:basedOn w:val="Normale"/>
    <w:link w:val="TestofumettoCarattere"/>
    <w:uiPriority w:val="99"/>
    <w:semiHidden/>
    <w:unhideWhenUsed/>
    <w:rsid w:val="005B5914"/>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5B5914"/>
    <w:rPr>
      <w:rFonts w:ascii="Lucida Grande" w:hAnsi="Lucida Grande" w:cs="Lucida Grande"/>
      <w:sz w:val="18"/>
      <w:szCs w:val="18"/>
      <w:lang w:val="en-US"/>
    </w:rPr>
  </w:style>
  <w:style w:type="character" w:styleId="Collegamentoipertestuale">
    <w:name w:val="Hyperlink"/>
    <w:rsid w:val="00B93C4F"/>
    <w:rPr>
      <w:color w:val="000080"/>
      <w:u w:val="single"/>
    </w:rPr>
  </w:style>
  <w:style w:type="paragraph" w:styleId="Corpotesto">
    <w:name w:val="Body Text"/>
    <w:basedOn w:val="Normale"/>
    <w:link w:val="CorpotestoCarattere"/>
    <w:rsid w:val="00B93C4F"/>
    <w:pPr>
      <w:widowControl w:val="0"/>
      <w:suppressAutoHyphens/>
      <w:spacing w:after="120"/>
    </w:pPr>
    <w:rPr>
      <w:rFonts w:ascii="Times New Roman" w:eastAsia="Arial Unicode MS" w:hAnsi="Times New Roman" w:cs="Arial Unicode MS"/>
      <w:kern w:val="1"/>
      <w:lang w:val="it-IT" w:eastAsia="hi-IN" w:bidi="hi-IN"/>
    </w:rPr>
  </w:style>
  <w:style w:type="character" w:customStyle="1" w:styleId="CorpotestoCarattere">
    <w:name w:val="Corpo testo Carattere"/>
    <w:basedOn w:val="Carpredefinitoparagrafo"/>
    <w:link w:val="Corpotesto"/>
    <w:rsid w:val="00B93C4F"/>
    <w:rPr>
      <w:rFonts w:ascii="Times New Roman" w:eastAsia="Arial Unicode MS" w:hAnsi="Times New Roman" w:cs="Arial Unicode MS"/>
      <w:kern w:val="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B5914"/>
    <w:pPr>
      <w:tabs>
        <w:tab w:val="center" w:pos="4819"/>
        <w:tab w:val="right" w:pos="9638"/>
      </w:tabs>
    </w:pPr>
  </w:style>
  <w:style w:type="character" w:customStyle="1" w:styleId="IntestazioneCarattere">
    <w:name w:val="Intestazione Carattere"/>
    <w:basedOn w:val="Carpredefinitoparagrafo"/>
    <w:link w:val="Intestazione"/>
    <w:uiPriority w:val="99"/>
    <w:rsid w:val="005B5914"/>
    <w:rPr>
      <w:lang w:val="en-US"/>
    </w:rPr>
  </w:style>
  <w:style w:type="paragraph" w:styleId="Pidipagina">
    <w:name w:val="footer"/>
    <w:basedOn w:val="Normale"/>
    <w:link w:val="PidipaginaCarattere"/>
    <w:uiPriority w:val="99"/>
    <w:unhideWhenUsed/>
    <w:rsid w:val="005B5914"/>
    <w:pPr>
      <w:tabs>
        <w:tab w:val="center" w:pos="4819"/>
        <w:tab w:val="right" w:pos="9638"/>
      </w:tabs>
    </w:pPr>
  </w:style>
  <w:style w:type="character" w:customStyle="1" w:styleId="PidipaginaCarattere">
    <w:name w:val="Piè di pagina Carattere"/>
    <w:basedOn w:val="Carpredefinitoparagrafo"/>
    <w:link w:val="Pidipagina"/>
    <w:uiPriority w:val="99"/>
    <w:rsid w:val="005B5914"/>
    <w:rPr>
      <w:lang w:val="en-US"/>
    </w:rPr>
  </w:style>
  <w:style w:type="paragraph" w:styleId="Testofumetto">
    <w:name w:val="Balloon Text"/>
    <w:basedOn w:val="Normale"/>
    <w:link w:val="TestofumettoCarattere"/>
    <w:uiPriority w:val="99"/>
    <w:semiHidden/>
    <w:unhideWhenUsed/>
    <w:rsid w:val="005B5914"/>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5B5914"/>
    <w:rPr>
      <w:rFonts w:ascii="Lucida Grande" w:hAnsi="Lucida Grande" w:cs="Lucida Grande"/>
      <w:sz w:val="18"/>
      <w:szCs w:val="18"/>
      <w:lang w:val="en-US"/>
    </w:rPr>
  </w:style>
  <w:style w:type="character" w:styleId="Collegamentoipertestuale">
    <w:name w:val="Hyperlink"/>
    <w:rsid w:val="00B93C4F"/>
    <w:rPr>
      <w:color w:val="000080"/>
      <w:u w:val="single"/>
    </w:rPr>
  </w:style>
  <w:style w:type="paragraph" w:styleId="Corpotesto">
    <w:name w:val="Body Text"/>
    <w:basedOn w:val="Normale"/>
    <w:link w:val="CorpotestoCarattere"/>
    <w:rsid w:val="00B93C4F"/>
    <w:pPr>
      <w:widowControl w:val="0"/>
      <w:suppressAutoHyphens/>
      <w:spacing w:after="120"/>
    </w:pPr>
    <w:rPr>
      <w:rFonts w:ascii="Times New Roman" w:eastAsia="Arial Unicode MS" w:hAnsi="Times New Roman" w:cs="Arial Unicode MS"/>
      <w:kern w:val="1"/>
      <w:lang w:val="it-IT" w:eastAsia="hi-IN" w:bidi="hi-IN"/>
    </w:rPr>
  </w:style>
  <w:style w:type="character" w:customStyle="1" w:styleId="CorpotestoCarattere">
    <w:name w:val="Corpo testo Carattere"/>
    <w:basedOn w:val="Carpredefinitoparagrafo"/>
    <w:link w:val="Corpotesto"/>
    <w:rsid w:val="00B93C4F"/>
    <w:rPr>
      <w:rFonts w:ascii="Times New Roman" w:eastAsia="Arial Unicode MS" w:hAnsi="Times New Roman" w:cs="Arial Unicode MS"/>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1000</Words>
  <Characters>5702</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Carlo Ghielmetti</cp:lastModifiedBy>
  <cp:revision>2</cp:revision>
  <cp:lastPrinted>2018-11-07T15:05:00Z</cp:lastPrinted>
  <dcterms:created xsi:type="dcterms:W3CDTF">2018-11-30T09:46:00Z</dcterms:created>
  <dcterms:modified xsi:type="dcterms:W3CDTF">2018-11-30T09:46:00Z</dcterms:modified>
</cp:coreProperties>
</file>