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68143" w14:textId="77777777" w:rsidR="00FA1216" w:rsidRDefault="00FA1216" w:rsidP="00FA1216">
      <w:pPr>
        <w:jc w:val="center"/>
        <w:rPr>
          <w:rFonts w:ascii="Calibri" w:eastAsia="Times New Roman" w:hAnsi="Calibri" w:cs="Calibri"/>
          <w:b/>
          <w:bCs/>
          <w:color w:val="C00000"/>
          <w:sz w:val="28"/>
          <w:szCs w:val="28"/>
          <w:shd w:val="clear" w:color="auto" w:fill="FFFFFF"/>
          <w:lang w:eastAsia="pt-PT"/>
        </w:rPr>
      </w:pPr>
      <w:r>
        <w:rPr>
          <w:rFonts w:ascii="Calibri" w:eastAsia="Times New Roman" w:hAnsi="Calibri" w:cs="Calibri"/>
          <w:b/>
          <w:bCs/>
          <w:noProof/>
          <w:color w:val="C00000"/>
          <w:sz w:val="28"/>
          <w:szCs w:val="28"/>
          <w:shd w:val="clear" w:color="auto" w:fill="FFFFFF"/>
          <w:lang w:eastAsia="pt-PT"/>
        </w:rPr>
        <w:drawing>
          <wp:inline distT="0" distB="0" distL="0" distR="0" wp14:anchorId="2DCC9DA2" wp14:editId="1DC80EA5">
            <wp:extent cx="1259378" cy="77521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1119" cy="77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b/>
          <w:bCs/>
          <w:noProof/>
          <w:color w:val="C00000"/>
          <w:sz w:val="28"/>
          <w:szCs w:val="28"/>
          <w:shd w:val="clear" w:color="auto" w:fill="FFFFFF"/>
          <w:lang w:eastAsia="pt-PT"/>
        </w:rPr>
        <w:drawing>
          <wp:inline distT="0" distB="0" distL="0" distR="0" wp14:anchorId="1EE68BA9" wp14:editId="0D88A352">
            <wp:extent cx="706755" cy="917397"/>
            <wp:effectExtent l="0" t="0" r="444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638" cy="918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99113" w14:textId="77777777" w:rsidR="00FA1216" w:rsidRDefault="00FA1216" w:rsidP="00FA1216">
      <w:pPr>
        <w:rPr>
          <w:rFonts w:ascii="Calibri" w:eastAsia="Times New Roman" w:hAnsi="Calibri" w:cs="Calibri"/>
          <w:b/>
          <w:bCs/>
          <w:color w:val="C00000"/>
          <w:sz w:val="28"/>
          <w:szCs w:val="28"/>
          <w:shd w:val="clear" w:color="auto" w:fill="FFFFFF"/>
          <w:lang w:eastAsia="pt-PT"/>
        </w:rPr>
      </w:pPr>
    </w:p>
    <w:p w14:paraId="3E7F6669" w14:textId="77777777" w:rsidR="00FA1216" w:rsidRDefault="00FA1216" w:rsidP="00FA1216">
      <w:pPr>
        <w:jc w:val="center"/>
        <w:rPr>
          <w:rFonts w:ascii="Calibri" w:eastAsia="Times New Roman" w:hAnsi="Calibri" w:cs="Calibri"/>
          <w:b/>
          <w:bCs/>
          <w:color w:val="C00000"/>
          <w:sz w:val="28"/>
          <w:szCs w:val="28"/>
          <w:shd w:val="clear" w:color="auto" w:fill="FFFFFF"/>
          <w:lang w:eastAsia="pt-PT"/>
        </w:rPr>
      </w:pPr>
    </w:p>
    <w:p w14:paraId="3888A230" w14:textId="77777777" w:rsidR="00FA1216" w:rsidRPr="004C2934" w:rsidRDefault="00FA1216" w:rsidP="00FA1216">
      <w:pPr>
        <w:jc w:val="center"/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</w:pPr>
      <w:r w:rsidRPr="004C2934"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  <w:t>ASSOCIAÇÃO PARA O DESENVOLVIMENTO DA COOPERAÇÃO</w:t>
      </w:r>
    </w:p>
    <w:p w14:paraId="6CC2CF52" w14:textId="77777777" w:rsidR="00FA1216" w:rsidRPr="004C2934" w:rsidRDefault="00FA1216" w:rsidP="00FA1216">
      <w:pPr>
        <w:jc w:val="center"/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</w:pPr>
      <w:r w:rsidRPr="004C2934"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  <w:t>EM ARQUEOLOGIA PENINSULAR (ADECAP)</w:t>
      </w:r>
    </w:p>
    <w:p w14:paraId="08986C5C" w14:textId="77777777" w:rsidR="00FA1216" w:rsidRPr="004C2934" w:rsidRDefault="00FA1216" w:rsidP="00FA1216">
      <w:pPr>
        <w:jc w:val="center"/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</w:pPr>
    </w:p>
    <w:p w14:paraId="5A81CABB" w14:textId="75D8AC81" w:rsidR="00FA1216" w:rsidRDefault="00FA1216" w:rsidP="00FA1216">
      <w:pPr>
        <w:jc w:val="center"/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</w:pPr>
      <w:r w:rsidRPr="004C2934"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  <w:t>SOCIEDADE PORTUGUESA DE ANTROPOLOGIA E ETNOLOGIA (SPAE)</w:t>
      </w:r>
    </w:p>
    <w:p w14:paraId="145ECFA5" w14:textId="1450AD4F" w:rsidR="006462D6" w:rsidRDefault="006462D6" w:rsidP="00FA1216">
      <w:pPr>
        <w:jc w:val="center"/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</w:pPr>
    </w:p>
    <w:p w14:paraId="7615644C" w14:textId="77777777" w:rsidR="006462D6" w:rsidRPr="004C2934" w:rsidRDefault="006462D6" w:rsidP="00FA1216">
      <w:pPr>
        <w:jc w:val="center"/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</w:pPr>
    </w:p>
    <w:p w14:paraId="404B4273" w14:textId="43A2A4B0" w:rsidR="00FA1216" w:rsidRDefault="001D135A" w:rsidP="00FA1216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</w:pPr>
      <w:r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  <w:t>Promovem:</w:t>
      </w:r>
    </w:p>
    <w:p w14:paraId="5194D1F9" w14:textId="77777777" w:rsidR="001D135A" w:rsidRDefault="001D135A" w:rsidP="00FA1216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</w:pPr>
    </w:p>
    <w:p w14:paraId="2240F971" w14:textId="6011E882" w:rsidR="00FA1216" w:rsidRDefault="00D76465" w:rsidP="00FA1216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</w:pPr>
      <w:r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  <w:t>N</w:t>
      </w:r>
      <w:r w:rsidR="001D135A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  <w:t xml:space="preserve">o dia </w:t>
      </w:r>
      <w:r w:rsidR="00FA1216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  <w:t>22</w:t>
      </w:r>
      <w:r w:rsidR="00FA1216" w:rsidRPr="004C2934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  <w:t xml:space="preserve"> </w:t>
      </w:r>
      <w:r w:rsidR="00FA1216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  <w:t>OUTUBRO</w:t>
      </w:r>
      <w:r w:rsidR="00FA1216" w:rsidRPr="004C2934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  <w:t xml:space="preserve"> 2022 15 h. (de Portugal) por zoom</w:t>
      </w:r>
      <w:r w:rsidR="00FA1216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  <w:t>:</w:t>
      </w:r>
    </w:p>
    <w:p w14:paraId="39ADDA20" w14:textId="77777777" w:rsidR="0008191A" w:rsidRDefault="0008191A" w:rsidP="0008191A">
      <w:hyperlink r:id="rId6" w:tgtFrame="_blank" w:history="1">
        <w:r>
          <w:rPr>
            <w:rStyle w:val="Hiperligao"/>
            <w:rFonts w:ascii="Arial" w:hAnsi="Arial" w:cs="Arial"/>
            <w:color w:val="1155CC"/>
          </w:rPr>
          <w:t>https://videoconf-colibri.zoom.us/j/89527106937?pwd=UEp0Q0w2Z1hBVUkyeE5OM3hTcTFJZz09</w:t>
        </w:r>
      </w:hyperlink>
    </w:p>
    <w:p w14:paraId="2A119BA5" w14:textId="77777777" w:rsidR="0008191A" w:rsidRDefault="0008191A" w:rsidP="00FA1216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</w:pPr>
    </w:p>
    <w:p w14:paraId="7EE9064A" w14:textId="77777777" w:rsidR="00FA1216" w:rsidRPr="004C2934" w:rsidRDefault="00FA1216" w:rsidP="00FA1216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</w:pPr>
    </w:p>
    <w:p w14:paraId="4CA33DAB" w14:textId="77777777" w:rsidR="00FA1216" w:rsidRDefault="00FA1216" w:rsidP="00FA1216">
      <w:pPr>
        <w:jc w:val="center"/>
        <w:rPr>
          <w:rFonts w:ascii="Calibri" w:eastAsia="Times New Roman" w:hAnsi="Calibri" w:cs="Calibri"/>
          <w:b/>
          <w:bCs/>
          <w:color w:val="C00000"/>
          <w:sz w:val="28"/>
          <w:szCs w:val="28"/>
          <w:shd w:val="clear" w:color="auto" w:fill="FFFFFF"/>
          <w:lang w:eastAsia="pt-PT"/>
        </w:rPr>
      </w:pPr>
    </w:p>
    <w:p w14:paraId="370B18BC" w14:textId="69F131A4" w:rsidR="00FA1216" w:rsidRPr="00BB4D2C" w:rsidRDefault="00FA1216" w:rsidP="00BB4D2C">
      <w:pPr>
        <w:jc w:val="center"/>
        <w:rPr>
          <w:rFonts w:ascii="Calibri" w:eastAsia="Times New Roman" w:hAnsi="Calibri" w:cs="Calibri"/>
          <w:b/>
          <w:bCs/>
          <w:color w:val="C00000"/>
          <w:sz w:val="32"/>
          <w:szCs w:val="32"/>
          <w:shd w:val="clear" w:color="auto" w:fill="FFFFFF"/>
          <w:lang w:eastAsia="pt-PT"/>
        </w:rPr>
      </w:pPr>
      <w:r w:rsidRPr="00BB4D2C">
        <w:rPr>
          <w:rFonts w:ascii="Calibri" w:eastAsia="Times New Roman" w:hAnsi="Calibri" w:cs="Calibri"/>
          <w:b/>
          <w:bCs/>
          <w:color w:val="C00000"/>
          <w:sz w:val="32"/>
          <w:szCs w:val="32"/>
          <w:shd w:val="clear" w:color="auto" w:fill="FFFFFF"/>
          <w:lang w:eastAsia="pt-PT"/>
        </w:rPr>
        <w:t>MUROS E MURALHAS: MEDO E PRAGMATISMO NO 3º MILÉNIO AC</w:t>
      </w:r>
      <w:r w:rsidR="00BB4D2C">
        <w:rPr>
          <w:rFonts w:ascii="Calibri" w:eastAsia="Times New Roman" w:hAnsi="Calibri" w:cs="Calibri"/>
          <w:b/>
          <w:bCs/>
          <w:color w:val="C00000"/>
          <w:sz w:val="32"/>
          <w:szCs w:val="32"/>
          <w:shd w:val="clear" w:color="auto" w:fill="FFFFFF"/>
          <w:lang w:eastAsia="pt-PT"/>
        </w:rPr>
        <w:t xml:space="preserve"> </w:t>
      </w:r>
      <w:r w:rsidRPr="00BB4D2C">
        <w:rPr>
          <w:rFonts w:ascii="Calibri" w:eastAsia="Times New Roman" w:hAnsi="Calibri" w:cs="Calibri"/>
          <w:b/>
          <w:bCs/>
          <w:color w:val="C00000"/>
          <w:sz w:val="32"/>
          <w:szCs w:val="32"/>
          <w:shd w:val="clear" w:color="auto" w:fill="FFFFFF"/>
          <w:lang w:eastAsia="pt-PT"/>
        </w:rPr>
        <w:t>- EM TORNO, E PARA ALÉM</w:t>
      </w:r>
      <w:r w:rsidR="00BB4D2C">
        <w:rPr>
          <w:rFonts w:ascii="Calibri" w:eastAsia="Times New Roman" w:hAnsi="Calibri" w:cs="Calibri"/>
          <w:b/>
          <w:bCs/>
          <w:color w:val="C00000"/>
          <w:sz w:val="32"/>
          <w:szCs w:val="32"/>
          <w:shd w:val="clear" w:color="auto" w:fill="FFFFFF"/>
          <w:lang w:eastAsia="pt-PT"/>
        </w:rPr>
        <w:t>,</w:t>
      </w:r>
      <w:r w:rsidRPr="00BB4D2C">
        <w:rPr>
          <w:rFonts w:ascii="Calibri" w:eastAsia="Times New Roman" w:hAnsi="Calibri" w:cs="Calibri"/>
          <w:b/>
          <w:bCs/>
          <w:color w:val="C00000"/>
          <w:sz w:val="32"/>
          <w:szCs w:val="32"/>
          <w:shd w:val="clear" w:color="auto" w:fill="FFFFFF"/>
          <w:lang w:eastAsia="pt-PT"/>
        </w:rPr>
        <w:t xml:space="preserve"> DOS DADOS ARQUEOLÓGICOS</w:t>
      </w:r>
    </w:p>
    <w:p w14:paraId="603615F8" w14:textId="77777777" w:rsidR="00FA1216" w:rsidRDefault="00FA1216" w:rsidP="00FA1216">
      <w:pPr>
        <w:jc w:val="center"/>
      </w:pPr>
    </w:p>
    <w:p w14:paraId="15F5C0F5" w14:textId="77777777" w:rsidR="00FA1216" w:rsidRDefault="00FA1216" w:rsidP="00FA1216">
      <w:pPr>
        <w:jc w:val="center"/>
      </w:pPr>
    </w:p>
    <w:p w14:paraId="0FF84622" w14:textId="77777777" w:rsidR="00FA1216" w:rsidRDefault="00FA1216" w:rsidP="00FA1216">
      <w:pPr>
        <w:jc w:val="center"/>
      </w:pPr>
      <w:r>
        <w:t>CONFERÊNCIA ABERTA</w:t>
      </w:r>
    </w:p>
    <w:p w14:paraId="42A732A2" w14:textId="77777777" w:rsidR="00FA1216" w:rsidRDefault="00FA1216" w:rsidP="00FA1216">
      <w:pPr>
        <w:jc w:val="center"/>
      </w:pPr>
    </w:p>
    <w:p w14:paraId="234E581B" w14:textId="77777777" w:rsidR="00FA1216" w:rsidRDefault="00FA1216" w:rsidP="00FA1216">
      <w:pPr>
        <w:jc w:val="center"/>
      </w:pPr>
      <w:r>
        <w:t>por</w:t>
      </w:r>
    </w:p>
    <w:p w14:paraId="0F96C2D4" w14:textId="77777777" w:rsidR="00FA1216" w:rsidRDefault="00FA1216" w:rsidP="00FA1216">
      <w:pPr>
        <w:jc w:val="center"/>
      </w:pPr>
    </w:p>
    <w:p w14:paraId="5B4E0D5A" w14:textId="796C26FC" w:rsidR="00FA1216" w:rsidRDefault="00FA1216" w:rsidP="00FA1216">
      <w:pPr>
        <w:jc w:val="center"/>
        <w:rPr>
          <w:b/>
          <w:bCs/>
          <w:sz w:val="28"/>
          <w:szCs w:val="28"/>
        </w:rPr>
      </w:pPr>
      <w:r w:rsidRPr="00FA1216">
        <w:rPr>
          <w:b/>
          <w:bCs/>
          <w:sz w:val="28"/>
          <w:szCs w:val="28"/>
        </w:rPr>
        <w:t>MARIANA DINIZ</w:t>
      </w:r>
    </w:p>
    <w:p w14:paraId="30FD543E" w14:textId="21A32393" w:rsidR="00FA1216" w:rsidRDefault="00FA1216" w:rsidP="006462D6">
      <w:pPr>
        <w:jc w:val="center"/>
        <w:rPr>
          <w:rFonts w:ascii="Calibri" w:eastAsia="Times New Roman" w:hAnsi="Calibri" w:cs="Calibri"/>
          <w:b/>
          <w:bCs/>
          <w:color w:val="000000" w:themeColor="text1"/>
          <w:shd w:val="clear" w:color="auto" w:fill="FFFFFF"/>
          <w:lang w:eastAsia="pt-PT"/>
        </w:rPr>
      </w:pPr>
      <w:r w:rsidRPr="00FA1216">
        <w:rPr>
          <w:rFonts w:ascii="Calibri" w:eastAsia="Times New Roman" w:hAnsi="Calibri" w:cs="Calibri"/>
          <w:b/>
          <w:bCs/>
          <w:color w:val="000000" w:themeColor="text1"/>
          <w:shd w:val="clear" w:color="auto" w:fill="FFFFFF"/>
          <w:lang w:eastAsia="pt-PT"/>
        </w:rPr>
        <w:t>Professora Associada da Faculdade de Letras de Lisboa</w:t>
      </w:r>
    </w:p>
    <w:p w14:paraId="0A9883F0" w14:textId="180A573F" w:rsidR="006462D6" w:rsidRDefault="006462D6" w:rsidP="006462D6">
      <w:pPr>
        <w:jc w:val="center"/>
        <w:rPr>
          <w:rFonts w:ascii="Calibri" w:eastAsia="Times New Roman" w:hAnsi="Calibri" w:cs="Calibri"/>
          <w:b/>
          <w:bCs/>
          <w:color w:val="000000" w:themeColor="text1"/>
          <w:shd w:val="clear" w:color="auto" w:fill="FFFFFF"/>
          <w:lang w:eastAsia="pt-PT"/>
        </w:rPr>
      </w:pPr>
    </w:p>
    <w:p w14:paraId="5FC1C32F" w14:textId="2769BDDD" w:rsidR="006462D6" w:rsidRDefault="006462D6" w:rsidP="006462D6">
      <w:pPr>
        <w:jc w:val="center"/>
        <w:rPr>
          <w:rFonts w:ascii="Calibri" w:eastAsia="Times New Roman" w:hAnsi="Calibri" w:cs="Calibri"/>
          <w:b/>
          <w:bCs/>
          <w:color w:val="000000" w:themeColor="text1"/>
          <w:shd w:val="clear" w:color="auto" w:fill="FFFFFF"/>
          <w:lang w:eastAsia="pt-PT"/>
        </w:rPr>
      </w:pPr>
    </w:p>
    <w:p w14:paraId="1EA58E52" w14:textId="66D7BE54" w:rsidR="006462D6" w:rsidRDefault="006462D6" w:rsidP="006462D6">
      <w:pPr>
        <w:jc w:val="center"/>
        <w:rPr>
          <w:rFonts w:ascii="Calibri" w:eastAsia="Times New Roman" w:hAnsi="Calibri" w:cs="Calibri"/>
          <w:b/>
          <w:bCs/>
          <w:color w:val="000000" w:themeColor="text1"/>
          <w:shd w:val="clear" w:color="auto" w:fill="FFFFFF"/>
          <w:lang w:eastAsia="pt-PT"/>
        </w:rPr>
      </w:pPr>
    </w:p>
    <w:p w14:paraId="7DAD9034" w14:textId="4586640D" w:rsidR="006462D6" w:rsidRDefault="006462D6" w:rsidP="006462D6">
      <w:pPr>
        <w:jc w:val="center"/>
        <w:rPr>
          <w:rFonts w:ascii="Calibri" w:eastAsia="Times New Roman" w:hAnsi="Calibri" w:cs="Calibri"/>
          <w:b/>
          <w:bCs/>
          <w:color w:val="000000" w:themeColor="text1"/>
          <w:shd w:val="clear" w:color="auto" w:fill="FFFFFF"/>
          <w:lang w:eastAsia="pt-PT"/>
        </w:rPr>
      </w:pPr>
      <w:r>
        <w:rPr>
          <w:rFonts w:ascii="Calibri" w:eastAsia="Times New Roman" w:hAnsi="Calibri" w:cs="Calibri"/>
          <w:b/>
          <w:bCs/>
          <w:color w:val="000000" w:themeColor="text1"/>
          <w:shd w:val="clear" w:color="auto" w:fill="FFFFFF"/>
          <w:lang w:eastAsia="pt-PT"/>
        </w:rPr>
        <w:t>A AUTORA:</w:t>
      </w:r>
    </w:p>
    <w:p w14:paraId="65AADC71" w14:textId="77777777" w:rsidR="006462D6" w:rsidRPr="00FA1216" w:rsidRDefault="006462D6" w:rsidP="00553BA0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pt-PT"/>
        </w:rPr>
      </w:pPr>
    </w:p>
    <w:p w14:paraId="199232A8" w14:textId="77777777" w:rsidR="00553BA0" w:rsidRDefault="00BB4D2C" w:rsidP="00553BA0">
      <w:pPr>
        <w:spacing w:line="360" w:lineRule="auto"/>
        <w:jc w:val="center"/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</w:pPr>
      <w:r w:rsidRPr="00BB4D2C"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  <w:t>Subdiretora da UNIARQ – Centro de Arqueologia.</w:t>
      </w:r>
      <w:r w:rsidRPr="001D135A">
        <w:rPr>
          <w:rFonts w:ascii="Arial" w:eastAsia="Times New Roman" w:hAnsi="Arial" w:cs="Arial"/>
          <w:b/>
          <w:bCs/>
          <w:color w:val="C00000"/>
          <w:sz w:val="20"/>
          <w:szCs w:val="20"/>
          <w:lang w:eastAsia="pt-PT"/>
        </w:rPr>
        <w:t xml:space="preserve"> </w:t>
      </w:r>
      <w:r w:rsidRPr="00BB4D2C"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  <w:t>Membro da Direção da Associação dos Arqueólogos Portugueses.</w:t>
      </w:r>
      <w:r w:rsidRPr="001D135A">
        <w:rPr>
          <w:rFonts w:ascii="Arial" w:eastAsia="Times New Roman" w:hAnsi="Arial" w:cs="Arial"/>
          <w:b/>
          <w:bCs/>
          <w:color w:val="C00000"/>
          <w:sz w:val="20"/>
          <w:szCs w:val="20"/>
          <w:lang w:eastAsia="pt-PT"/>
        </w:rPr>
        <w:t xml:space="preserve"> </w:t>
      </w:r>
      <w:r w:rsidRPr="00BB4D2C"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  <w:t>Doutorada em Arqueologia e Pré-História pela Universidade de Lisboa, em 2004.</w:t>
      </w:r>
    </w:p>
    <w:p w14:paraId="127D14FE" w14:textId="3E147F29" w:rsidR="00BB4D2C" w:rsidRPr="00BB4D2C" w:rsidRDefault="00BB4D2C" w:rsidP="00553BA0">
      <w:pPr>
        <w:spacing w:line="360" w:lineRule="auto"/>
        <w:jc w:val="center"/>
        <w:rPr>
          <w:rFonts w:ascii="Arial" w:eastAsia="Times New Roman" w:hAnsi="Arial" w:cs="Arial"/>
          <w:b/>
          <w:bCs/>
          <w:color w:val="C00000"/>
          <w:sz w:val="20"/>
          <w:szCs w:val="20"/>
          <w:lang w:eastAsia="pt-PT"/>
        </w:rPr>
      </w:pPr>
      <w:r w:rsidRPr="00BB4D2C"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  <w:t>Tendo como objeto central de estudo as transições sociais ocorridas no Holoceno, lidas a partir dos dados arqueológicos, tem trabalhado, sobretudo no Sul de Portugal, em contextos associados aos últimos caçadores-recolectores e aos primeiros grupos agro-pastoris, aos momentos de consolidação e  complexificação das sociedades pré-históricas, codirigindo, neste momento, as escavações no povoado calcolítico de Vila Nova de São Pedro</w:t>
      </w:r>
      <w:r w:rsidR="00553BA0"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  <w:t xml:space="preserve"> (Azambuja)</w:t>
      </w:r>
      <w:r w:rsidRPr="00BB4D2C"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  <w:t>, no âmbito do projeto VNSP3000.</w:t>
      </w:r>
      <w:r w:rsidR="00553BA0"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  <w:t xml:space="preserve"> </w:t>
      </w:r>
      <w:r w:rsidRPr="00BB4D2C"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  <w:t xml:space="preserve">Os </w:t>
      </w:r>
      <w:r w:rsidRPr="00BB4D2C"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  <w:lastRenderedPageBreak/>
        <w:t>contextos sociais de produção do Conhecimento </w:t>
      </w:r>
      <w:r w:rsidRPr="00BB4D2C">
        <w:rPr>
          <w:rFonts w:ascii="Calibri" w:eastAsia="Times New Roman" w:hAnsi="Calibri" w:cs="Calibri"/>
          <w:b/>
          <w:bCs/>
          <w:i/>
          <w:iCs/>
          <w:color w:val="C00000"/>
          <w:sz w:val="20"/>
          <w:szCs w:val="20"/>
          <w:lang w:eastAsia="pt-PT"/>
        </w:rPr>
        <w:t>– história e teoria</w:t>
      </w:r>
      <w:r w:rsidRPr="00BB4D2C">
        <w:rPr>
          <w:rFonts w:ascii="Calibri" w:eastAsia="Times New Roman" w:hAnsi="Calibri" w:cs="Calibri"/>
          <w:b/>
          <w:bCs/>
          <w:color w:val="C00000"/>
          <w:sz w:val="20"/>
          <w:szCs w:val="20"/>
          <w:lang w:eastAsia="pt-PT"/>
        </w:rPr>
        <w:t> da Arqueologia – bem como o ativismo cientifico constituem tópicos centrais de atenção.</w:t>
      </w:r>
    </w:p>
    <w:p w14:paraId="4520792C" w14:textId="77777777" w:rsidR="00FA1216" w:rsidRPr="001D135A" w:rsidRDefault="00FA1216" w:rsidP="00553BA0">
      <w:pPr>
        <w:spacing w:line="360" w:lineRule="auto"/>
        <w:jc w:val="center"/>
        <w:rPr>
          <w:b/>
          <w:bCs/>
          <w:color w:val="C00000"/>
          <w:sz w:val="28"/>
          <w:szCs w:val="28"/>
        </w:rPr>
      </w:pPr>
    </w:p>
    <w:p w14:paraId="5C631740" w14:textId="77777777" w:rsidR="00FA1216" w:rsidRDefault="00FA1216" w:rsidP="00FA1216">
      <w:pPr>
        <w:jc w:val="center"/>
      </w:pPr>
    </w:p>
    <w:p w14:paraId="607FDF1F" w14:textId="3B007342" w:rsidR="00FA1216" w:rsidRDefault="00FA1216" w:rsidP="00FA1216">
      <w:pPr>
        <w:jc w:val="center"/>
      </w:pPr>
    </w:p>
    <w:p w14:paraId="556A2083" w14:textId="03F0014B" w:rsidR="00FA1216" w:rsidRDefault="00FA1216" w:rsidP="00BB4D2C">
      <w:pPr>
        <w:jc w:val="center"/>
        <w:rPr>
          <w:sz w:val="10"/>
          <w:szCs w:val="10"/>
        </w:rPr>
      </w:pPr>
    </w:p>
    <w:p w14:paraId="11CBC063" w14:textId="3D6DA84C" w:rsidR="00FA1216" w:rsidRDefault="00FA1216" w:rsidP="00BB4D2C">
      <w:pPr>
        <w:jc w:val="center"/>
        <w:rPr>
          <w:sz w:val="10"/>
          <w:szCs w:val="10"/>
        </w:rPr>
      </w:pPr>
    </w:p>
    <w:p w14:paraId="30C69EDF" w14:textId="6DC2D419" w:rsidR="00FA1216" w:rsidRDefault="006462D6" w:rsidP="006462D6">
      <w:pPr>
        <w:jc w:val="center"/>
        <w:rPr>
          <w:sz w:val="10"/>
          <w:szCs w:val="10"/>
        </w:rPr>
      </w:pPr>
      <w:r>
        <w:rPr>
          <w:noProof/>
          <w:sz w:val="10"/>
          <w:szCs w:val="10"/>
        </w:rPr>
        <w:drawing>
          <wp:inline distT="0" distB="0" distL="0" distR="0" wp14:anchorId="664FB007" wp14:editId="4FF7F0AB">
            <wp:extent cx="2661170" cy="3548226"/>
            <wp:effectExtent l="0" t="0" r="635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294" cy="355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E8D8E" w14:textId="69644F79" w:rsidR="00FA1216" w:rsidRDefault="00FA1216" w:rsidP="00FA1216">
      <w:pPr>
        <w:jc w:val="both"/>
        <w:rPr>
          <w:sz w:val="10"/>
          <w:szCs w:val="10"/>
        </w:rPr>
      </w:pPr>
    </w:p>
    <w:p w14:paraId="0A1C7DEC" w14:textId="77777777" w:rsidR="00FA1216" w:rsidRDefault="00FA1216" w:rsidP="00FA1216">
      <w:pPr>
        <w:jc w:val="both"/>
        <w:rPr>
          <w:sz w:val="10"/>
          <w:szCs w:val="10"/>
        </w:rPr>
      </w:pPr>
    </w:p>
    <w:p w14:paraId="3A78D026" w14:textId="47D62562" w:rsidR="00AF1D14" w:rsidRPr="00AF1D14" w:rsidRDefault="00AF1D14" w:rsidP="00AF1D14">
      <w:pPr>
        <w:jc w:val="center"/>
        <w:rPr>
          <w:rFonts w:ascii="Times New Roman" w:eastAsia="Times New Roman" w:hAnsi="Times New Roman" w:cs="Times New Roman"/>
          <w:lang w:eastAsia="pt-PT"/>
        </w:rPr>
      </w:pPr>
      <w:r w:rsidRPr="00AF1D14">
        <w:rPr>
          <w:rFonts w:ascii="Calibri" w:eastAsia="Times New Roman" w:hAnsi="Calibri" w:cs="Calibri"/>
          <w:color w:val="1F497D"/>
          <w:sz w:val="22"/>
          <w:szCs w:val="22"/>
          <w:lang w:eastAsia="pt-PT"/>
        </w:rPr>
        <w:t>Muros e muralhas - numa fronteira, no Norte de África, onde acaba o espaço Schengen</w:t>
      </w:r>
    </w:p>
    <w:p w14:paraId="09AAA271" w14:textId="77777777" w:rsidR="006462D6" w:rsidRDefault="006462D6" w:rsidP="00AF1D14">
      <w:pPr>
        <w:jc w:val="center"/>
        <w:rPr>
          <w:b/>
          <w:bCs/>
          <w:color w:val="000000" w:themeColor="text1"/>
          <w:sz w:val="32"/>
          <w:szCs w:val="32"/>
        </w:rPr>
      </w:pPr>
    </w:p>
    <w:p w14:paraId="5BB3AE22" w14:textId="77777777" w:rsidR="006462D6" w:rsidRDefault="006462D6" w:rsidP="00FA1216">
      <w:pPr>
        <w:jc w:val="both"/>
        <w:rPr>
          <w:b/>
          <w:bCs/>
          <w:color w:val="000000" w:themeColor="text1"/>
          <w:sz w:val="32"/>
          <w:szCs w:val="32"/>
        </w:rPr>
      </w:pPr>
    </w:p>
    <w:p w14:paraId="18250267" w14:textId="77777777" w:rsidR="006462D6" w:rsidRDefault="006462D6" w:rsidP="00FA1216">
      <w:pPr>
        <w:jc w:val="both"/>
        <w:rPr>
          <w:b/>
          <w:bCs/>
          <w:color w:val="000000" w:themeColor="text1"/>
          <w:sz w:val="32"/>
          <w:szCs w:val="32"/>
        </w:rPr>
      </w:pPr>
    </w:p>
    <w:p w14:paraId="5B3F29B3" w14:textId="288469DD" w:rsidR="00FA1216" w:rsidRPr="006462D6" w:rsidRDefault="006462D6" w:rsidP="006462D6">
      <w:pPr>
        <w:jc w:val="center"/>
        <w:rPr>
          <w:b/>
          <w:bCs/>
          <w:color w:val="000000" w:themeColor="text1"/>
          <w:sz w:val="32"/>
          <w:szCs w:val="32"/>
        </w:rPr>
      </w:pPr>
      <w:r w:rsidRPr="006462D6">
        <w:rPr>
          <w:b/>
          <w:bCs/>
          <w:color w:val="000000" w:themeColor="text1"/>
          <w:sz w:val="32"/>
          <w:szCs w:val="32"/>
        </w:rPr>
        <w:t>O TEMA:</w:t>
      </w:r>
    </w:p>
    <w:p w14:paraId="3B29813C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065048B6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58CA01A8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399E211E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1DF6E63D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1CE875E1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7AF24910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16FE14CF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057AABF2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3418E0C0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40372364" w14:textId="0889212C" w:rsidR="00BB4D2C" w:rsidRPr="00BB4D2C" w:rsidRDefault="00BB4D2C" w:rsidP="006462D6">
      <w:p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pt-PT"/>
        </w:rPr>
      </w:pPr>
      <w:r w:rsidRPr="00BB4D2C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  <w:lang w:eastAsia="pt-PT"/>
        </w:rPr>
        <w:t xml:space="preserve">Pretende-se refletir, nesta palestra, sobre temas que atravessam as sociedades do 3º milénio </w:t>
      </w:r>
      <w:r w:rsidR="006462D6" w:rsidRPr="006462D6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  <w:lang w:eastAsia="pt-PT"/>
        </w:rPr>
        <w:t xml:space="preserve">AC </w:t>
      </w:r>
      <w:r w:rsidRPr="00BB4D2C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  <w:lang w:eastAsia="pt-PT"/>
        </w:rPr>
        <w:t>– resultantes de uma Grande Aceleração de que são também vitimas – e cuja materialidade parece, no registo arqueológico, gritante.</w:t>
      </w:r>
    </w:p>
    <w:p w14:paraId="1E5597E2" w14:textId="15949996" w:rsidR="00BB4D2C" w:rsidRPr="00BB4D2C" w:rsidRDefault="00BB4D2C" w:rsidP="006462D6">
      <w:p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pt-PT"/>
        </w:rPr>
      </w:pPr>
      <w:r w:rsidRPr="00BB4D2C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  <w:lang w:eastAsia="pt-PT"/>
        </w:rPr>
        <w:t xml:space="preserve">As arquiteturas de pedra e argamassas – que se apresentam no 3º milénio AC, sob a forma de círculos ou semicírculos concêntricos, parecem uma expressão material do medo – sentimento, seguramente ancestral, mas que agora procura – pragmaticamente - outras formas de expressão. Do medo que se sente, ao medo que se quer despertar, sítios como o </w:t>
      </w:r>
      <w:r w:rsidRPr="00BB4D2C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  <w:lang w:eastAsia="pt-PT"/>
        </w:rPr>
        <w:lastRenderedPageBreak/>
        <w:t>povoado de Vila Nova de São Pedro (Azambuja), permitem pensar trajetos sociais no Passado e no Presente. A meu ver, a única forma de fazer Arqueologia.</w:t>
      </w:r>
    </w:p>
    <w:p w14:paraId="54B089CC" w14:textId="77777777" w:rsidR="00BB4D2C" w:rsidRPr="00BB4D2C" w:rsidRDefault="00BB4D2C" w:rsidP="006462D6">
      <w:p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pt-PT"/>
        </w:rPr>
      </w:pPr>
      <w:r w:rsidRPr="00BB4D2C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  <w:lang w:eastAsia="pt-PT"/>
        </w:rPr>
        <w:t> </w:t>
      </w:r>
    </w:p>
    <w:p w14:paraId="09B60D33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2F01DC72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4F0DA3EB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5F8D00BC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2FF0EE9C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6D19EB05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17233A12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2D1E4DCA" w14:textId="77777777" w:rsidR="00FA1216" w:rsidRPr="006462D6" w:rsidRDefault="00FA1216" w:rsidP="00FA1216">
      <w:pPr>
        <w:jc w:val="both"/>
        <w:rPr>
          <w:b/>
          <w:bCs/>
          <w:color w:val="000000" w:themeColor="text1"/>
          <w:sz w:val="10"/>
          <w:szCs w:val="10"/>
        </w:rPr>
      </w:pPr>
    </w:p>
    <w:p w14:paraId="7FB554D1" w14:textId="77777777" w:rsidR="00B9197B" w:rsidRPr="006462D6" w:rsidRDefault="00B9197B">
      <w:pPr>
        <w:rPr>
          <w:b/>
          <w:bCs/>
          <w:color w:val="000000" w:themeColor="text1"/>
        </w:rPr>
      </w:pPr>
    </w:p>
    <w:sectPr w:rsidR="00B9197B" w:rsidRPr="006462D6" w:rsidSect="006D7A3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216"/>
    <w:rsid w:val="0008191A"/>
    <w:rsid w:val="001D135A"/>
    <w:rsid w:val="00553BA0"/>
    <w:rsid w:val="006462D6"/>
    <w:rsid w:val="006D7A30"/>
    <w:rsid w:val="00AF1D14"/>
    <w:rsid w:val="00B9197B"/>
    <w:rsid w:val="00BB4D2C"/>
    <w:rsid w:val="00D76465"/>
    <w:rsid w:val="00FA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8CDAD3"/>
  <w15:chartTrackingRefBased/>
  <w15:docId w15:val="{FED2108C-FF7D-EB44-96D3-63F92921C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21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FA1216"/>
    <w:rPr>
      <w:color w:val="0563C1" w:themeColor="hyperlink"/>
      <w:u w:val="single"/>
    </w:rPr>
  </w:style>
  <w:style w:type="character" w:customStyle="1" w:styleId="apple-converted-space">
    <w:name w:val="apple-converted-space"/>
    <w:basedOn w:val="Tipodeletrapredefinidodopargrafo"/>
    <w:rsid w:val="00BB4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deoconf-colibri.zoom.us/j/89527106937?pwd=UEp0Q0w2Z1hBVUkyeE5OM3hTcTFJZz09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397</Words>
  <Characters>1894</Characters>
  <Application>Microsoft Office Word</Application>
  <DocSecurity>0</DocSecurity>
  <Lines>32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vitor oliveira</cp:lastModifiedBy>
  <cp:revision>5</cp:revision>
  <dcterms:created xsi:type="dcterms:W3CDTF">2022-07-04T21:27:00Z</dcterms:created>
  <dcterms:modified xsi:type="dcterms:W3CDTF">2022-07-06T16:58:00Z</dcterms:modified>
</cp:coreProperties>
</file>