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DA" w:rsidRPr="00F55494" w:rsidRDefault="00D93FDA" w:rsidP="002173D4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6"/>
          <w:szCs w:val="26"/>
        </w:rPr>
      </w:pPr>
    </w:p>
    <w:p w:rsidR="00D93FDA" w:rsidRPr="00D93FDA" w:rsidRDefault="00D93FDA" w:rsidP="002173D4">
      <w:pPr>
        <w:pStyle w:val="Default"/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93FDA">
        <w:rPr>
          <w:rFonts w:asciiTheme="minorHAnsi" w:hAnsiTheme="minorHAnsi" w:cstheme="minorHAnsi"/>
          <w:b/>
          <w:bCs/>
          <w:sz w:val="22"/>
          <w:szCs w:val="22"/>
        </w:rPr>
        <w:t>APRECIAÇÃO PARLAMENTAR N.º …/XII/1.ª</w:t>
      </w:r>
    </w:p>
    <w:p w:rsidR="00D93FDA" w:rsidRPr="00D93FDA" w:rsidRDefault="00D93FDA" w:rsidP="002173D4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D93FDA" w:rsidRPr="00D93FDA" w:rsidRDefault="00D93FDA" w:rsidP="002173D4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93FDA">
        <w:rPr>
          <w:rFonts w:asciiTheme="minorHAnsi" w:hAnsiTheme="minorHAnsi" w:cstheme="minorHAnsi"/>
          <w:b/>
          <w:bCs/>
          <w:sz w:val="22"/>
          <w:szCs w:val="22"/>
        </w:rPr>
        <w:t xml:space="preserve">Decreto-Lei </w:t>
      </w:r>
      <w:r>
        <w:rPr>
          <w:rFonts w:asciiTheme="minorHAnsi" w:hAnsiTheme="minorHAnsi" w:cstheme="minorHAnsi"/>
          <w:b/>
          <w:bCs/>
          <w:sz w:val="22"/>
          <w:szCs w:val="22"/>
        </w:rPr>
        <w:t>n.º 266-G/2012, de 31 de dezembro</w:t>
      </w:r>
      <w:r w:rsidRPr="00D93FD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93FDA">
        <w:rPr>
          <w:rFonts w:asciiTheme="minorHAnsi" w:hAnsiTheme="minorHAnsi" w:cstheme="minorHAnsi"/>
          <w:b/>
          <w:bCs/>
          <w:sz w:val="22"/>
          <w:szCs w:val="22"/>
        </w:rPr>
        <w:t>que “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procede à </w:t>
      </w:r>
      <w:r w:rsidRPr="00D93FDA">
        <w:rPr>
          <w:rFonts w:asciiTheme="minorHAnsi" w:hAnsiTheme="minorHAnsi" w:cstheme="minorHAnsi"/>
          <w:b/>
          <w:bCs/>
          <w:sz w:val="22"/>
          <w:szCs w:val="22"/>
        </w:rPr>
        <w:t>primeira alteração ao Decreto-Lei n.º 125/2011, de 29 de dezembro, que aprova a Lei Orgânica do Ministério da Educação e Ciência”</w:t>
      </w:r>
      <w:r w:rsidRPr="00D93FDA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D93FDA">
        <w:rPr>
          <w:rFonts w:asciiTheme="minorHAnsi" w:hAnsiTheme="minorHAnsi" w:cstheme="minorHAnsi"/>
          <w:b/>
          <w:bCs/>
          <w:sz w:val="22"/>
          <w:szCs w:val="22"/>
        </w:rPr>
        <w:t xml:space="preserve">publicado no Diário da República nº </w:t>
      </w:r>
      <w:r>
        <w:rPr>
          <w:rFonts w:asciiTheme="minorHAnsi" w:hAnsiTheme="minorHAnsi" w:cstheme="minorHAnsi"/>
          <w:b/>
          <w:bCs/>
          <w:sz w:val="22"/>
          <w:szCs w:val="22"/>
        </w:rPr>
        <w:t>252</w:t>
      </w:r>
      <w:r w:rsidRPr="00D93FDA">
        <w:rPr>
          <w:rFonts w:asciiTheme="minorHAnsi" w:hAnsiTheme="minorHAnsi" w:cstheme="minorHAnsi"/>
          <w:b/>
          <w:bCs/>
          <w:sz w:val="22"/>
          <w:szCs w:val="22"/>
        </w:rPr>
        <w:t xml:space="preserve">, I Série, de </w:t>
      </w:r>
      <w:r>
        <w:rPr>
          <w:rFonts w:asciiTheme="minorHAnsi" w:hAnsiTheme="minorHAnsi" w:cstheme="minorHAnsi"/>
          <w:b/>
          <w:bCs/>
          <w:sz w:val="22"/>
          <w:szCs w:val="22"/>
        </w:rPr>
        <w:t>31 de dezembro</w:t>
      </w:r>
      <w:r w:rsidRPr="00D93FDA">
        <w:rPr>
          <w:rFonts w:asciiTheme="minorHAnsi" w:hAnsiTheme="minorHAnsi" w:cstheme="minorHAnsi"/>
          <w:b/>
          <w:bCs/>
          <w:sz w:val="22"/>
          <w:szCs w:val="22"/>
        </w:rPr>
        <w:t xml:space="preserve"> de 2012</w:t>
      </w:r>
    </w:p>
    <w:p w:rsidR="00BE497F" w:rsidRDefault="00BE497F" w:rsidP="002173D4">
      <w:pPr>
        <w:spacing w:line="360" w:lineRule="auto"/>
        <w:jc w:val="both"/>
      </w:pPr>
    </w:p>
    <w:p w:rsidR="00D93FDA" w:rsidRDefault="00D93FDA" w:rsidP="002173D4">
      <w:pPr>
        <w:spacing w:line="360" w:lineRule="auto"/>
        <w:jc w:val="both"/>
      </w:pPr>
      <w:r>
        <w:t xml:space="preserve">A Fundação para a Computação Científica Nacional </w:t>
      </w:r>
      <w:r w:rsidR="00BE497F">
        <w:t xml:space="preserve">(doravante, FCCN) </w:t>
      </w:r>
      <w:r>
        <w:t xml:space="preserve">assegura, desde 1991, a ligação de Portugal à </w:t>
      </w:r>
      <w:r w:rsidR="00477840">
        <w:t>Internet, constituindo uma entidade privada sem fins</w:t>
      </w:r>
      <w:r w:rsidR="00A14A3E">
        <w:t xml:space="preserve"> lucrativos de utilidade pública de inigualável mais-valia para o país</w:t>
      </w:r>
      <w:r w:rsidR="00477840">
        <w:t>.</w:t>
      </w:r>
    </w:p>
    <w:p w:rsidR="00A14A3E" w:rsidRDefault="00A14A3E" w:rsidP="002173D4">
      <w:pPr>
        <w:spacing w:line="360" w:lineRule="auto"/>
        <w:jc w:val="both"/>
      </w:pPr>
      <w:r>
        <w:t xml:space="preserve">Com efeito, </w:t>
      </w:r>
      <w:r w:rsidR="00BE497F">
        <w:t xml:space="preserve">esta entidade foi responsável por projetos como a Rede Nacional de Investigação e Educação, a Biblioteca do Conhecimento Online, o Repositório Científico de Acesso Aberto de Portugal ou o </w:t>
      </w:r>
      <w:r w:rsidR="00BE497F" w:rsidRPr="00BE497F">
        <w:rPr>
          <w:i/>
        </w:rPr>
        <w:t>eduroam</w:t>
      </w:r>
      <w:r w:rsidR="00BE497F">
        <w:t>.</w:t>
      </w:r>
    </w:p>
    <w:p w:rsidR="00BE497F" w:rsidRDefault="00BE497F" w:rsidP="002173D4">
      <w:pPr>
        <w:spacing w:line="360" w:lineRule="auto"/>
        <w:jc w:val="both"/>
      </w:pPr>
      <w:r>
        <w:t>A excelência inerente ao trabalho produzido na Fundação assenta nas suas competências técnicas de topo e na sua capacidade inovadora, características verdadeiramente necessárias para entrar num setor tão competitivo.</w:t>
      </w:r>
    </w:p>
    <w:p w:rsidR="00BE497F" w:rsidRPr="00D93FDA" w:rsidRDefault="00BE497F" w:rsidP="002173D4">
      <w:pPr>
        <w:spacing w:line="360" w:lineRule="auto"/>
        <w:jc w:val="both"/>
      </w:pPr>
      <w:r>
        <w:t>Daí que a opção do atual executivo de extinguir a FCCN como entidade autónoma e de integrar as suas competências num instituto público, plasmada n</w:t>
      </w:r>
      <w:r w:rsidRPr="00D93FDA">
        <w:t>o Decreto-Lei n.º 266-G/2012, 31 de dezembro que procede à primeira alteração ao Decreto-Lei n.º 125/2011, de 29 de dezembro que aprova a Lei Orgânica do M</w:t>
      </w:r>
      <w:r>
        <w:t>inistério da Educação e Ciência, não seja de todo compreensível.</w:t>
      </w:r>
    </w:p>
    <w:p w:rsidR="00BE497F" w:rsidRDefault="007E0CCE" w:rsidP="002173D4">
      <w:pPr>
        <w:spacing w:line="360" w:lineRule="auto"/>
        <w:jc w:val="both"/>
      </w:pPr>
      <w:r>
        <w:t>Veja-se que em setembro de 2012, aquando da avaliação das fundações, o Governo comunicou à FCCN a decisão de “não reduzir ou cessar os apoios financeiros públicos e/ou não cancelar o estatuto de utilidade pública” desta instituição.</w:t>
      </w:r>
    </w:p>
    <w:p w:rsidR="007E0CCE" w:rsidRDefault="00727B3B" w:rsidP="002173D4">
      <w:pPr>
        <w:spacing w:line="360" w:lineRule="auto"/>
        <w:jc w:val="both"/>
      </w:pPr>
      <w:r w:rsidRPr="002328DA">
        <w:rPr>
          <w:color w:val="000000" w:themeColor="text1"/>
        </w:rPr>
        <w:t xml:space="preserve">Aliados à alta qualificação do trabalho desenvolvido nessa </w:t>
      </w:r>
      <w:r w:rsidR="002173D4" w:rsidRPr="002328DA">
        <w:rPr>
          <w:color w:val="000000" w:themeColor="text1"/>
        </w:rPr>
        <w:t>Fundação, atestado, aliás, pelo atual</w:t>
      </w:r>
      <w:r w:rsidR="002173D4">
        <w:t xml:space="preserve"> executivo, estão</w:t>
      </w:r>
      <w:r w:rsidR="007E0CCE">
        <w:t xml:space="preserve"> a flexibilidade de gestão e a capacidade de recrutamento e renovação de recursos humanos competitivamente no mercado privado </w:t>
      </w:r>
      <w:r w:rsidR="002173D4">
        <w:t xml:space="preserve">que </w:t>
      </w:r>
      <w:r w:rsidR="007E0CCE">
        <w:t>só se poderá efetivar através de uma entidade autónoma com capacidade pa</w:t>
      </w:r>
      <w:r>
        <w:t xml:space="preserve">ra manter os serviços avançados, </w:t>
      </w:r>
      <w:r w:rsidR="007E0CCE">
        <w:t xml:space="preserve">que até agora foram disponibilizados </w:t>
      </w:r>
      <w:r w:rsidR="007E0CCE">
        <w:lastRenderedPageBreak/>
        <w:t xml:space="preserve">e a capacidade de inovação e iniciativa imprescindíveis para a modernização do sistema científico e do ensino superior. </w:t>
      </w:r>
    </w:p>
    <w:p w:rsidR="007E0CCE" w:rsidRDefault="007E0CCE" w:rsidP="002173D4">
      <w:pPr>
        <w:spacing w:line="360" w:lineRule="auto"/>
        <w:jc w:val="both"/>
      </w:pPr>
      <w:r>
        <w:t>Não se pode abrir mão de um</w:t>
      </w:r>
      <w:r w:rsidR="002173D4">
        <w:t>a</w:t>
      </w:r>
      <w:r>
        <w:t xml:space="preserve"> rede que permite a investigadores, professores e alunos do ensino superior a utilização de Internet a alta velocidade e que já determinou a celebração de protocolos de cooperação internacional de interesse estratégico com países como Angola, Brasil ou Guiné-Bissau</w:t>
      </w:r>
      <w:r w:rsidR="002173D4">
        <w:t>.</w:t>
      </w:r>
    </w:p>
    <w:p w:rsidR="002173D4" w:rsidRDefault="002173D4" w:rsidP="002173D4">
      <w:pPr>
        <w:spacing w:line="360" w:lineRule="auto"/>
        <w:jc w:val="both"/>
      </w:pPr>
      <w:r>
        <w:t>Muitos especialistas neste setor alertam para o facto da inclusão das atribuições da FCCN na FCT destruir a capacidade de manutenção dos serviços avançados até agora disponibilizados e a capacidade de inovação e empreendedorismo, fulcrais para o bom funcionamento e modernização do sistema científico e do ensino superior, sendo certo que o seu conselho executivo já pediu demissão devido à discordância com esta opção</w:t>
      </w:r>
      <w:r w:rsidRPr="00232FEF">
        <w:t xml:space="preserve"> </w:t>
      </w:r>
      <w:r>
        <w:t>governamental.</w:t>
      </w:r>
    </w:p>
    <w:p w:rsidR="002173D4" w:rsidRPr="002173D4" w:rsidRDefault="000C1716" w:rsidP="002173D4">
      <w:pPr>
        <w:spacing w:line="360" w:lineRule="auto"/>
        <w:jc w:val="both"/>
      </w:pPr>
      <w:r>
        <w:t>Neste sentido</w:t>
      </w:r>
      <w:r w:rsidR="002173D4">
        <w:t>, mostra-se necessário empreender um debate alargado sobre este diploma, no sentido de aferir sobre os motivos inere</w:t>
      </w:r>
      <w:r w:rsidR="004D5B5B">
        <w:t xml:space="preserve">ntes a esta opção governamental e </w:t>
      </w:r>
      <w:r w:rsidR="002173D4">
        <w:t xml:space="preserve">de obter garantias de </w:t>
      </w:r>
      <w:r w:rsidR="002173D4" w:rsidRPr="002328DA">
        <w:t>manutenção dos resultados de excelência até agora</w:t>
      </w:r>
      <w:r w:rsidR="004D5B5B" w:rsidRPr="002328DA">
        <w:t xml:space="preserve"> produz</w:t>
      </w:r>
      <w:r w:rsidR="00727B3B" w:rsidRPr="002328DA">
        <w:t xml:space="preserve">idos na FCCN, </w:t>
      </w:r>
      <w:r w:rsidR="004D5B5B" w:rsidRPr="002328DA">
        <w:rPr>
          <w:color w:val="000000" w:themeColor="text1"/>
        </w:rPr>
        <w:t>bem como de discutir aspetos formais inerentes à constituição dos órgãos da Fundação para a Ciência e Tecnologia, agora investida de novas competências.</w:t>
      </w:r>
      <w:r w:rsidR="004D5B5B" w:rsidRPr="004D5B5B">
        <w:rPr>
          <w:color w:val="000000" w:themeColor="text1"/>
        </w:rPr>
        <w:t xml:space="preserve"> </w:t>
      </w:r>
    </w:p>
    <w:p w:rsidR="00D93FDA" w:rsidRPr="00D93FDA" w:rsidRDefault="00D93FDA" w:rsidP="002173D4">
      <w:pPr>
        <w:spacing w:line="360" w:lineRule="auto"/>
        <w:jc w:val="both"/>
      </w:pPr>
      <w:r w:rsidRPr="00D93FDA">
        <w:t>Assim, e para os efeitos do disposto na alínea c) do artigo 162.º e do artigo 169.º da Constituição da República Portuguesa e do artigo 189.º do Regimento da Assembleia da República, os Deputados do Partido Socialista abaixo-assinados, vêm requerer a Apreciação Parlamentar do Decreto-Lei nº</w:t>
      </w:r>
      <w:r w:rsidR="002173D4">
        <w:t xml:space="preserve"> 266</w:t>
      </w:r>
      <w:r w:rsidR="00BC65B8">
        <w:t xml:space="preserve">-G/2012, de 31 de dezembro que </w:t>
      </w:r>
      <w:r w:rsidR="002173D4" w:rsidRPr="002173D4">
        <w:t>“procede à primeira alteração ao Decreto-Lei n.º 125/2011, de 29 de dezembro, que aprova a Lei Orgânica do Mi</w:t>
      </w:r>
      <w:r w:rsidR="002173D4">
        <w:t>nistério da Educação e Ciência”.</w:t>
      </w:r>
    </w:p>
    <w:p w:rsidR="00D93FDA" w:rsidRPr="00D93FDA" w:rsidRDefault="00D93FDA" w:rsidP="002173D4">
      <w:pPr>
        <w:spacing w:line="360" w:lineRule="auto"/>
        <w:jc w:val="both"/>
      </w:pPr>
    </w:p>
    <w:p w:rsidR="00D93FDA" w:rsidRPr="00D93FDA" w:rsidRDefault="00D93FDA" w:rsidP="002173D4">
      <w:pPr>
        <w:spacing w:line="360" w:lineRule="auto"/>
        <w:jc w:val="both"/>
      </w:pPr>
      <w:r w:rsidRPr="00D93FDA">
        <w:t xml:space="preserve">Palácio de São Bento, </w:t>
      </w:r>
      <w:r w:rsidR="00CB7BC9">
        <w:t>30</w:t>
      </w:r>
      <w:r w:rsidRPr="00D93FDA">
        <w:t xml:space="preserve"> de janeiro de 2013</w:t>
      </w:r>
    </w:p>
    <w:p w:rsidR="002173D4" w:rsidRDefault="002173D4" w:rsidP="002173D4">
      <w:pPr>
        <w:spacing w:line="360" w:lineRule="auto"/>
        <w:jc w:val="both"/>
      </w:pPr>
    </w:p>
    <w:p w:rsidR="002173D4" w:rsidRDefault="002173D4" w:rsidP="002173D4">
      <w:pPr>
        <w:spacing w:line="360" w:lineRule="auto"/>
        <w:jc w:val="both"/>
      </w:pPr>
    </w:p>
    <w:p w:rsidR="00D93FDA" w:rsidRDefault="00D93FDA" w:rsidP="002173D4">
      <w:pPr>
        <w:spacing w:line="360" w:lineRule="auto"/>
        <w:jc w:val="center"/>
      </w:pPr>
      <w:r w:rsidRPr="00D93FDA">
        <w:t>Os Deputados</w:t>
      </w:r>
    </w:p>
    <w:p w:rsidR="002C0ED5" w:rsidRDefault="002C0ED5" w:rsidP="002173D4">
      <w:pPr>
        <w:spacing w:line="360" w:lineRule="auto"/>
        <w:jc w:val="center"/>
      </w:pPr>
      <w:r>
        <w:t xml:space="preserve">Elza Pais </w:t>
      </w:r>
    </w:p>
    <w:p w:rsidR="002C0ED5" w:rsidRDefault="002C0ED5" w:rsidP="002173D4">
      <w:pPr>
        <w:spacing w:line="360" w:lineRule="auto"/>
        <w:jc w:val="center"/>
      </w:pPr>
      <w:r>
        <w:lastRenderedPageBreak/>
        <w:t>Pedro Delgado Alves</w:t>
      </w:r>
    </w:p>
    <w:p w:rsidR="002C0ED5" w:rsidRDefault="002C0ED5" w:rsidP="002173D4">
      <w:pPr>
        <w:spacing w:line="360" w:lineRule="auto"/>
        <w:jc w:val="center"/>
      </w:pPr>
      <w:r>
        <w:t>Rui Santos</w:t>
      </w:r>
    </w:p>
    <w:p w:rsidR="002C0ED5" w:rsidRDefault="002C0ED5" w:rsidP="002173D4">
      <w:pPr>
        <w:spacing w:line="360" w:lineRule="auto"/>
        <w:jc w:val="center"/>
      </w:pPr>
      <w:r>
        <w:t xml:space="preserve">Odete João </w:t>
      </w:r>
    </w:p>
    <w:p w:rsidR="002C0ED5" w:rsidRDefault="002C0ED5" w:rsidP="002173D4">
      <w:pPr>
        <w:spacing w:line="360" w:lineRule="auto"/>
        <w:jc w:val="center"/>
      </w:pPr>
      <w:r>
        <w:t>Jacinto Serrão Ana Catarina Mendes</w:t>
      </w:r>
    </w:p>
    <w:p w:rsidR="002C0ED5" w:rsidRDefault="002C0ED5" w:rsidP="002173D4">
      <w:pPr>
        <w:spacing w:line="360" w:lineRule="auto"/>
        <w:jc w:val="center"/>
      </w:pPr>
      <w:r>
        <w:t>Gabriela Canavilhas</w:t>
      </w:r>
    </w:p>
    <w:p w:rsidR="002C0ED5" w:rsidRDefault="002C0ED5" w:rsidP="002173D4">
      <w:pPr>
        <w:spacing w:line="360" w:lineRule="auto"/>
        <w:jc w:val="center"/>
      </w:pPr>
      <w:r>
        <w:t xml:space="preserve">Jacinto Serrão </w:t>
      </w:r>
    </w:p>
    <w:p w:rsidR="002C0ED5" w:rsidRDefault="002C0ED5" w:rsidP="002173D4">
      <w:pPr>
        <w:spacing w:line="360" w:lineRule="auto"/>
        <w:jc w:val="center"/>
      </w:pPr>
      <w:r>
        <w:t>Acácio Pinto</w:t>
      </w:r>
    </w:p>
    <w:p w:rsidR="002C0ED5" w:rsidRDefault="002C0ED5" w:rsidP="002173D4">
      <w:pPr>
        <w:spacing w:line="360" w:lineRule="auto"/>
        <w:jc w:val="center"/>
      </w:pPr>
      <w:r>
        <w:t>Carlos Enes</w:t>
      </w:r>
    </w:p>
    <w:p w:rsidR="002C0ED5" w:rsidRPr="00D93FDA" w:rsidRDefault="002C0ED5" w:rsidP="002173D4">
      <w:pPr>
        <w:spacing w:line="360" w:lineRule="auto"/>
        <w:jc w:val="center"/>
      </w:pPr>
      <w:r>
        <w:t>Rui Pedro Duarte</w:t>
      </w:r>
    </w:p>
    <w:p w:rsidR="00D93FDA" w:rsidRPr="00D93FDA" w:rsidRDefault="00D93FDA" w:rsidP="002173D4">
      <w:pPr>
        <w:spacing w:line="360" w:lineRule="auto"/>
        <w:jc w:val="both"/>
      </w:pPr>
    </w:p>
    <w:sectPr w:rsidR="00D93FDA" w:rsidRPr="00D93FDA" w:rsidSect="0065720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3A8" w:rsidRDefault="006913A8" w:rsidP="002173D4">
      <w:pPr>
        <w:spacing w:after="0" w:line="240" w:lineRule="auto"/>
      </w:pPr>
      <w:r>
        <w:separator/>
      </w:r>
    </w:p>
  </w:endnote>
  <w:endnote w:type="continuationSeparator" w:id="0">
    <w:p w:rsidR="006913A8" w:rsidRDefault="006913A8" w:rsidP="00217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3A8" w:rsidRDefault="006913A8" w:rsidP="002173D4">
      <w:pPr>
        <w:spacing w:after="0" w:line="240" w:lineRule="auto"/>
      </w:pPr>
      <w:r>
        <w:separator/>
      </w:r>
    </w:p>
  </w:footnote>
  <w:footnote w:type="continuationSeparator" w:id="0">
    <w:p w:rsidR="006913A8" w:rsidRDefault="006913A8" w:rsidP="00217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3D4" w:rsidRDefault="002173D4" w:rsidP="002173D4">
    <w:pPr>
      <w:pStyle w:val="Cabealho"/>
      <w:jc w:val="center"/>
    </w:pPr>
    <w:r w:rsidRPr="002173D4">
      <w:rPr>
        <w:noProof/>
        <w:lang w:eastAsia="pt-PT"/>
      </w:rPr>
      <w:drawing>
        <wp:inline distT="0" distB="0" distL="0" distR="0">
          <wp:extent cx="1924050" cy="1123950"/>
          <wp:effectExtent l="19050" t="0" r="0" b="0"/>
          <wp:docPr id="2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1123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73D4" w:rsidRDefault="002173D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B4A8F"/>
    <w:multiLevelType w:val="hybridMultilevel"/>
    <w:tmpl w:val="21D67C4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3FDA"/>
    <w:rsid w:val="000C1716"/>
    <w:rsid w:val="001B55F7"/>
    <w:rsid w:val="001F40C4"/>
    <w:rsid w:val="002173D4"/>
    <w:rsid w:val="002328DA"/>
    <w:rsid w:val="002638FC"/>
    <w:rsid w:val="002C0ED5"/>
    <w:rsid w:val="002E5E21"/>
    <w:rsid w:val="002F6467"/>
    <w:rsid w:val="003A11F2"/>
    <w:rsid w:val="00477840"/>
    <w:rsid w:val="004D5B5B"/>
    <w:rsid w:val="00530545"/>
    <w:rsid w:val="00631D56"/>
    <w:rsid w:val="00657209"/>
    <w:rsid w:val="006913A8"/>
    <w:rsid w:val="00695A7A"/>
    <w:rsid w:val="00727B3B"/>
    <w:rsid w:val="007316DD"/>
    <w:rsid w:val="007C3C2E"/>
    <w:rsid w:val="007E0CCE"/>
    <w:rsid w:val="00A14A3E"/>
    <w:rsid w:val="00B33170"/>
    <w:rsid w:val="00BC65B8"/>
    <w:rsid w:val="00BE497F"/>
    <w:rsid w:val="00C7654B"/>
    <w:rsid w:val="00CB7BC9"/>
    <w:rsid w:val="00D01342"/>
    <w:rsid w:val="00D71806"/>
    <w:rsid w:val="00D93FDA"/>
    <w:rsid w:val="00DB18F5"/>
    <w:rsid w:val="00DB2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FD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93FD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BE497F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217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173D4"/>
  </w:style>
  <w:style w:type="paragraph" w:styleId="Rodap">
    <w:name w:val="footer"/>
    <w:basedOn w:val="Normal"/>
    <w:link w:val="RodapCarcter"/>
    <w:uiPriority w:val="99"/>
    <w:semiHidden/>
    <w:unhideWhenUsed/>
    <w:rsid w:val="002173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2173D4"/>
  </w:style>
  <w:style w:type="paragraph" w:styleId="Textodebalo">
    <w:name w:val="Balloon Text"/>
    <w:basedOn w:val="Normal"/>
    <w:link w:val="TextodebaloCarcter"/>
    <w:uiPriority w:val="99"/>
    <w:semiHidden/>
    <w:unhideWhenUsed/>
    <w:rsid w:val="00217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173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marinagoncalves</dc:creator>
  <cp:lastModifiedBy>marinagoncalves</cp:lastModifiedBy>
  <cp:revision>2</cp:revision>
  <dcterms:created xsi:type="dcterms:W3CDTF">2013-01-30T17:06:00Z</dcterms:created>
  <dcterms:modified xsi:type="dcterms:W3CDTF">2013-01-30T17:06:00Z</dcterms:modified>
</cp:coreProperties>
</file>