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AF1DD" w:themeColor="accent3" w:themeTint="33"/>
  <w:body>
    <w:p w:rsidR="00E534D9" w:rsidRDefault="00E534D9"/>
    <w:p w:rsidR="00112D1F" w:rsidRDefault="00112D1F" w:rsidP="008C6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contextualSpacing/>
        <w:rPr>
          <w:rFonts w:ascii="Rockwell Extra Bold" w:eastAsia="Times New Roman" w:hAnsi="Rockwell Extra Bold" w:cs="Times New Roman"/>
          <w:b/>
          <w:sz w:val="24"/>
          <w:szCs w:val="24"/>
          <w:lang w:eastAsia="pt-PT"/>
        </w:rPr>
      </w:pPr>
    </w:p>
    <w:p w:rsidR="008C6847" w:rsidRPr="00112D1F" w:rsidRDefault="008C6847" w:rsidP="002C0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contextualSpacing/>
        <w:jc w:val="center"/>
        <w:rPr>
          <w:rFonts w:ascii="Rockwell Extra Bold" w:eastAsia="Times New Roman" w:hAnsi="Rockwell Extra Bold" w:cs="Times New Roman"/>
          <w:b/>
          <w:sz w:val="24"/>
          <w:szCs w:val="24"/>
          <w:lang w:eastAsia="pt-PT"/>
        </w:rPr>
      </w:pPr>
      <w:r w:rsidRPr="00112D1F">
        <w:rPr>
          <w:rFonts w:ascii="Rockwell Extra Bold" w:eastAsia="Times New Roman" w:hAnsi="Rockwell Extra Bold" w:cs="Times New Roman"/>
          <w:b/>
          <w:sz w:val="24"/>
          <w:szCs w:val="24"/>
          <w:lang w:eastAsia="pt-PT"/>
        </w:rPr>
        <w:t>Viseu: Património em debate no Museu da Misericórdia</w:t>
      </w:r>
    </w:p>
    <w:p w:rsidR="00112D1F" w:rsidRPr="00112D1F" w:rsidRDefault="00112D1F" w:rsidP="002C0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contextualSpacing/>
        <w:jc w:val="center"/>
        <w:rPr>
          <w:rFonts w:ascii="Rockwell Extra Bold" w:eastAsia="Times New Roman" w:hAnsi="Rockwell Extra Bold" w:cs="Times New Roman"/>
          <w:b/>
          <w:sz w:val="10"/>
          <w:szCs w:val="24"/>
          <w:lang w:eastAsia="pt-PT"/>
        </w:rPr>
      </w:pPr>
    </w:p>
    <w:p w:rsidR="008C6847" w:rsidRPr="00112D1F" w:rsidRDefault="008C6847" w:rsidP="002C0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contextualSpacing/>
        <w:jc w:val="center"/>
        <w:rPr>
          <w:rFonts w:ascii="Rockwell Extra Bold" w:eastAsia="Times New Roman" w:hAnsi="Rockwell Extra Bold" w:cs="Times New Roman"/>
          <w:b/>
          <w:sz w:val="24"/>
          <w:szCs w:val="24"/>
          <w:lang w:eastAsia="pt-PT"/>
        </w:rPr>
      </w:pPr>
      <w:r w:rsidRPr="00112D1F">
        <w:rPr>
          <w:rFonts w:ascii="Rockwell Extra Bold" w:eastAsia="Times New Roman" w:hAnsi="Rockwell Extra Bold" w:cs="Times New Roman"/>
          <w:b/>
          <w:sz w:val="24"/>
          <w:szCs w:val="24"/>
          <w:lang w:eastAsia="pt-PT"/>
        </w:rPr>
        <w:t>18.Abril.</w:t>
      </w:r>
      <w:proofErr w:type="gramStart"/>
      <w:r w:rsidRPr="00112D1F">
        <w:rPr>
          <w:rFonts w:ascii="Rockwell Extra Bold" w:eastAsia="Times New Roman" w:hAnsi="Rockwell Extra Bold" w:cs="Times New Roman"/>
          <w:b/>
          <w:sz w:val="24"/>
          <w:szCs w:val="24"/>
          <w:lang w:eastAsia="pt-PT"/>
        </w:rPr>
        <w:t>2015  -</w:t>
      </w:r>
      <w:proofErr w:type="gramEnd"/>
      <w:r w:rsidRPr="00112D1F">
        <w:rPr>
          <w:rFonts w:ascii="Rockwell Extra Bold" w:eastAsia="Times New Roman" w:hAnsi="Rockwell Extra Bold" w:cs="Times New Roman"/>
          <w:b/>
          <w:sz w:val="24"/>
          <w:szCs w:val="24"/>
          <w:lang w:eastAsia="pt-PT"/>
        </w:rPr>
        <w:t xml:space="preserve">  18 horas</w:t>
      </w:r>
    </w:p>
    <w:p w:rsidR="008C6847" w:rsidRPr="008C6847" w:rsidRDefault="008C6847" w:rsidP="008C6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contextualSpacing/>
        <w:jc w:val="center"/>
        <w:rPr>
          <w:rFonts w:ascii="Rockwell Extra Bold" w:eastAsia="Times New Roman" w:hAnsi="Rockwell Extra Bold" w:cs="Times New Roman"/>
          <w:b/>
          <w:sz w:val="24"/>
          <w:szCs w:val="24"/>
          <w:highlight w:val="lightGray"/>
          <w:lang w:eastAsia="pt-PT"/>
        </w:rPr>
      </w:pPr>
    </w:p>
    <w:p w:rsidR="008C6847" w:rsidRPr="00112D1F" w:rsidRDefault="008C6847" w:rsidP="008C6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contextualSpacing/>
        <w:jc w:val="both"/>
        <w:rPr>
          <w:rFonts w:eastAsia="Times New Roman" w:cs="Times New Roman"/>
          <w:b/>
          <w:sz w:val="24"/>
          <w:szCs w:val="24"/>
          <w:lang w:eastAsia="pt-PT"/>
        </w:rPr>
      </w:pP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O Museu da Misericórdia vai assinalar o </w:t>
      </w:r>
      <w:r w:rsidR="00112D1F">
        <w:rPr>
          <w:rFonts w:eastAsia="Times New Roman" w:cs="Times New Roman"/>
          <w:b/>
          <w:sz w:val="24"/>
          <w:szCs w:val="24"/>
          <w:lang w:eastAsia="pt-PT"/>
        </w:rPr>
        <w:t>D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ia </w:t>
      </w:r>
      <w:r w:rsidR="002C0147">
        <w:rPr>
          <w:rFonts w:eastAsia="Times New Roman" w:cs="Times New Roman"/>
          <w:b/>
          <w:sz w:val="24"/>
          <w:szCs w:val="24"/>
          <w:lang w:eastAsia="pt-PT"/>
        </w:rPr>
        <w:t>I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nternacional dos </w:t>
      </w:r>
      <w:r w:rsidR="002C0147">
        <w:rPr>
          <w:rFonts w:eastAsia="Times New Roman" w:cs="Times New Roman"/>
          <w:b/>
          <w:sz w:val="24"/>
          <w:szCs w:val="24"/>
          <w:lang w:eastAsia="pt-PT"/>
        </w:rPr>
        <w:t>M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onumentos e </w:t>
      </w:r>
      <w:r w:rsidR="002C0147">
        <w:rPr>
          <w:rFonts w:eastAsia="Times New Roman" w:cs="Times New Roman"/>
          <w:b/>
          <w:sz w:val="24"/>
          <w:szCs w:val="24"/>
          <w:lang w:eastAsia="pt-PT"/>
        </w:rPr>
        <w:t>S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ítios. Ao associar-se a esta efeméride promovida pelo ICOMOS, este ano com a temática “Conhecer, Explorar, Partilhar”, em articulação com a programação nacional da Direção-Geral do Património Cultural, o Museu proporciona nesse dia visitas guiadas. Pelas 18h, promove uma Mesa-redonda na galeria de exposições temporárias, onde está patente uma mostra de desenhos de </w:t>
      </w:r>
      <w:r w:rsidR="00112D1F">
        <w:rPr>
          <w:rFonts w:eastAsia="Times New Roman" w:cs="Times New Roman"/>
          <w:b/>
          <w:sz w:val="24"/>
          <w:szCs w:val="24"/>
          <w:lang w:eastAsia="pt-PT"/>
        </w:rPr>
        <w:t xml:space="preserve">Mestre 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>Braga da Costa</w:t>
      </w:r>
      <w:r w:rsidR="00112D1F">
        <w:rPr>
          <w:rFonts w:eastAsia="Times New Roman" w:cs="Times New Roman"/>
          <w:b/>
          <w:sz w:val="24"/>
          <w:szCs w:val="24"/>
          <w:lang w:eastAsia="pt-PT"/>
        </w:rPr>
        <w:t xml:space="preserve">. </w:t>
      </w:r>
    </w:p>
    <w:p w:rsidR="00112D1F" w:rsidRDefault="008C6847" w:rsidP="008C6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12" w:lineRule="auto"/>
        <w:contextualSpacing/>
        <w:jc w:val="both"/>
        <w:rPr>
          <w:rFonts w:eastAsia="Times New Roman" w:cs="Times New Roman"/>
          <w:b/>
          <w:sz w:val="24"/>
          <w:szCs w:val="24"/>
          <w:lang w:eastAsia="pt-PT"/>
        </w:rPr>
      </w:pP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Intervirão na sessão: João Inês Vaz, arqueólogo e investigador; Ana Tavares Martins, professora universitária da UBI; Paulo Monteiro, gestor da </w:t>
      </w:r>
      <w:proofErr w:type="spellStart"/>
      <w:r w:rsidRPr="00112D1F">
        <w:rPr>
          <w:rStyle w:val="company-card-item"/>
          <w:b/>
          <w:bCs/>
          <w:sz w:val="24"/>
          <w:szCs w:val="24"/>
        </w:rPr>
        <w:t>Glory</w:t>
      </w:r>
      <w:proofErr w:type="spellEnd"/>
      <w:r w:rsidRPr="00112D1F">
        <w:rPr>
          <w:rStyle w:val="company-card-item"/>
          <w:b/>
          <w:bCs/>
          <w:sz w:val="24"/>
          <w:szCs w:val="24"/>
        </w:rPr>
        <w:t xml:space="preserve"> Box - Gestão Integrada do Património Cultural; 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>e Fernando Dacosta, escritor.</w:t>
      </w:r>
    </w:p>
    <w:p w:rsidR="00112D1F" w:rsidRDefault="008C6847" w:rsidP="008C6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12" w:lineRule="auto"/>
        <w:contextualSpacing/>
        <w:jc w:val="both"/>
        <w:rPr>
          <w:rFonts w:eastAsia="Times New Roman" w:cs="Times New Roman"/>
          <w:b/>
          <w:sz w:val="24"/>
          <w:szCs w:val="24"/>
          <w:lang w:eastAsia="pt-PT"/>
        </w:rPr>
      </w:pP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Outras personalidades convidadas </w:t>
      </w:r>
      <w:r w:rsidR="00112D1F">
        <w:rPr>
          <w:rFonts w:eastAsia="Times New Roman" w:cs="Times New Roman"/>
          <w:b/>
          <w:sz w:val="24"/>
          <w:szCs w:val="24"/>
          <w:lang w:eastAsia="pt-PT"/>
        </w:rPr>
        <w:t xml:space="preserve">partilharão experiências 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sobre o trabalho </w:t>
      </w:r>
      <w:r w:rsidR="00112D1F">
        <w:rPr>
          <w:rFonts w:eastAsia="Times New Roman" w:cs="Times New Roman"/>
          <w:b/>
          <w:sz w:val="24"/>
          <w:szCs w:val="24"/>
          <w:lang w:eastAsia="pt-PT"/>
        </w:rPr>
        <w:t xml:space="preserve">individual e institucional 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desenvolvido nesta área. </w:t>
      </w:r>
    </w:p>
    <w:p w:rsidR="00112D1F" w:rsidRDefault="00112D1F" w:rsidP="008C6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12" w:lineRule="auto"/>
        <w:contextualSpacing/>
        <w:jc w:val="both"/>
        <w:rPr>
          <w:rFonts w:eastAsia="Times New Roman" w:cs="Times New Roman"/>
          <w:b/>
          <w:sz w:val="24"/>
          <w:szCs w:val="24"/>
          <w:lang w:eastAsia="pt-PT"/>
        </w:rPr>
      </w:pPr>
      <w:r>
        <w:rPr>
          <w:rFonts w:eastAsia="Times New Roman" w:cs="Times New Roman"/>
          <w:b/>
          <w:sz w:val="24"/>
          <w:szCs w:val="24"/>
          <w:lang w:eastAsia="pt-PT"/>
        </w:rPr>
        <w:t xml:space="preserve">O 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>objetivo de</w:t>
      </w:r>
      <w:r>
        <w:rPr>
          <w:rFonts w:eastAsia="Times New Roman" w:cs="Times New Roman"/>
          <w:b/>
          <w:sz w:val="24"/>
          <w:szCs w:val="24"/>
          <w:lang w:eastAsia="pt-PT"/>
        </w:rPr>
        <w:t>stas iniciativas é</w:t>
      </w:r>
      <w:r w:rsidRPr="00112D1F">
        <w:rPr>
          <w:rFonts w:eastAsia="Times New Roman" w:cs="Times New Roman"/>
          <w:b/>
          <w:sz w:val="24"/>
          <w:szCs w:val="24"/>
          <w:lang w:eastAsia="pt-PT"/>
        </w:rPr>
        <w:t xml:space="preserve"> proporcionar uma maior sensibilização pública para o conhecimento da diversidade do património, bem como para o esforço envolvido na sua valorização, promoção e divulgação</w:t>
      </w:r>
      <w:r>
        <w:rPr>
          <w:rFonts w:eastAsia="Times New Roman" w:cs="Times New Roman"/>
          <w:b/>
          <w:sz w:val="24"/>
          <w:szCs w:val="24"/>
          <w:lang w:eastAsia="pt-PT"/>
        </w:rPr>
        <w:t>.</w:t>
      </w:r>
    </w:p>
    <w:p w:rsidR="00112D1F" w:rsidRPr="00112D1F" w:rsidRDefault="00112D1F" w:rsidP="008C6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12" w:lineRule="auto"/>
        <w:contextualSpacing/>
        <w:jc w:val="both"/>
        <w:rPr>
          <w:rFonts w:eastAsia="Times New Roman" w:cs="Times New Roman"/>
          <w:b/>
          <w:sz w:val="24"/>
          <w:szCs w:val="24"/>
          <w:lang w:eastAsia="pt-PT"/>
        </w:rPr>
      </w:pPr>
    </w:p>
    <w:p w:rsidR="008C6847" w:rsidRPr="008C6847" w:rsidRDefault="008C6847" w:rsidP="008C6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highlight w:val="lightGray"/>
        </w:rPr>
      </w:pPr>
      <w:r w:rsidRPr="008C6847">
        <w:rPr>
          <w:noProof/>
          <w:highlight w:val="lightGray"/>
          <w:lang w:eastAsia="pt-PT"/>
        </w:rPr>
        <w:drawing>
          <wp:inline distT="0" distB="0" distL="0" distR="0">
            <wp:extent cx="5400040" cy="3037523"/>
            <wp:effectExtent l="19050" t="0" r="0" b="0"/>
            <wp:docPr id="1" name="Imagem 1" descr="https://scontent-mad.xx.fbcdn.net/hphotos-xpf1/v/t1.0-9/11009342_801134026645142_987008208275850229_n.jpg?oh=c1ab1ae929ebe479526109fd57871874&amp;oe=559D35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mad.xx.fbcdn.net/hphotos-xpf1/v/t1.0-9/11009342_801134026645142_987008208275850229_n.jpg?oh=c1ab1ae929ebe479526109fd57871874&amp;oe=559D357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847" w:rsidRPr="008C6847" w:rsidRDefault="008C6847" w:rsidP="00112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112D1F">
        <w:rPr>
          <w:rFonts w:ascii="Rockwell Extra Bold" w:hAnsi="Rockwell Extra Bold"/>
          <w:b/>
          <w:sz w:val="20"/>
        </w:rPr>
        <w:t xml:space="preserve">Tesouro da </w:t>
      </w:r>
      <w:proofErr w:type="gramStart"/>
      <w:r w:rsidRPr="00112D1F">
        <w:rPr>
          <w:rFonts w:ascii="Rockwell Extra Bold" w:hAnsi="Rockwell Extra Bold"/>
          <w:b/>
          <w:sz w:val="20"/>
        </w:rPr>
        <w:t xml:space="preserve">Misericórdia </w:t>
      </w:r>
      <w:r w:rsidR="00112D1F" w:rsidRPr="00112D1F">
        <w:rPr>
          <w:rFonts w:ascii="Rockwell Extra Bold" w:hAnsi="Rockwell Extra Bold"/>
          <w:b/>
          <w:sz w:val="20"/>
        </w:rPr>
        <w:t xml:space="preserve"> </w:t>
      </w:r>
      <w:r w:rsidR="00112D1F">
        <w:rPr>
          <w:rFonts w:ascii="Rockwell Extra Bold" w:hAnsi="Rockwell Extra Bold"/>
          <w:b/>
          <w:sz w:val="20"/>
        </w:rPr>
        <w:t>Adro</w:t>
      </w:r>
      <w:proofErr w:type="gramEnd"/>
      <w:r w:rsidR="00112D1F">
        <w:rPr>
          <w:rFonts w:ascii="Rockwell Extra Bold" w:hAnsi="Rockwell Extra Bold"/>
          <w:b/>
          <w:sz w:val="20"/>
        </w:rPr>
        <w:t xml:space="preserve"> da Sé </w:t>
      </w:r>
      <w:r w:rsidRPr="00112D1F">
        <w:rPr>
          <w:rFonts w:ascii="Rockwell Extra Bold" w:hAnsi="Rockwell Extra Bold"/>
          <w:b/>
          <w:sz w:val="20"/>
        </w:rPr>
        <w:t xml:space="preserve"> 3500-195 VISEU</w:t>
      </w:r>
      <w:r w:rsidR="00112D1F">
        <w:rPr>
          <w:rFonts w:ascii="Rockwell Extra Bold" w:hAnsi="Rockwell Extra Bold"/>
          <w:b/>
          <w:sz w:val="20"/>
        </w:rPr>
        <w:t xml:space="preserve"> </w:t>
      </w:r>
      <w:r w:rsidRPr="00112D1F">
        <w:rPr>
          <w:rFonts w:ascii="Rockwell Extra Bold" w:hAnsi="Rockwell Extra Bold"/>
          <w:b/>
          <w:sz w:val="20"/>
        </w:rPr>
        <w:t>tel. 232441141</w:t>
      </w:r>
      <w:r w:rsidRPr="00112D1F">
        <w:rPr>
          <w:sz w:val="20"/>
        </w:rPr>
        <w:t xml:space="preserve"> </w:t>
      </w:r>
      <w:r w:rsidR="00112D1F">
        <w:rPr>
          <w:sz w:val="20"/>
        </w:rPr>
        <w:t xml:space="preserve"> </w:t>
      </w:r>
      <w:r w:rsidR="00112D1F" w:rsidRPr="00112D1F">
        <w:rPr>
          <w:sz w:val="20"/>
        </w:rPr>
        <w:t xml:space="preserve"> </w:t>
      </w:r>
      <w:r w:rsidRPr="00112D1F">
        <w:rPr>
          <w:sz w:val="20"/>
        </w:rPr>
        <w:t xml:space="preserve"> </w:t>
      </w:r>
      <w:r w:rsidR="00112D1F" w:rsidRPr="00112D1F">
        <w:drawing>
          <wp:inline distT="0" distB="0" distL="0" distR="0">
            <wp:extent cx="190500" cy="190500"/>
            <wp:effectExtent l="19050" t="0" r="0" b="0"/>
            <wp:docPr id="2" name="Imagem 1" descr="https://encrypted-tbn2.gstatic.com/images?q=tbn:ANd9GcQTlHvXu08QF399_DeLJuutWlnNybTKVX67CHkdZbmrxa8dXB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QTlHvXu08QF399_DeLJuutWlnNybTKVX67CHkdZbmrxa8dXBT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847" w:rsidRPr="008C6847" w:rsidRDefault="008C6847" w:rsidP="008C6847">
      <w:pPr>
        <w:jc w:val="center"/>
      </w:pPr>
    </w:p>
    <w:sectPr w:rsidR="008C6847" w:rsidRPr="008C6847" w:rsidSect="00E534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8C6847"/>
    <w:rsid w:val="00112D1F"/>
    <w:rsid w:val="002C0147"/>
    <w:rsid w:val="008C6847"/>
    <w:rsid w:val="009037FC"/>
    <w:rsid w:val="00E53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66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84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8C6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C6847"/>
    <w:rPr>
      <w:rFonts w:ascii="Tahoma" w:hAnsi="Tahoma" w:cs="Tahoma"/>
      <w:sz w:val="16"/>
      <w:szCs w:val="16"/>
    </w:rPr>
  </w:style>
  <w:style w:type="character" w:customStyle="1" w:styleId="company-card-item">
    <w:name w:val="company-card-item"/>
    <w:basedOn w:val="Tipodeletrapredefinidodopargrafo"/>
    <w:rsid w:val="008C68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Henrique Almeida</dc:creator>
  <cp:lastModifiedBy>Henrique Almeida</cp:lastModifiedBy>
  <cp:revision>2</cp:revision>
  <dcterms:created xsi:type="dcterms:W3CDTF">2015-04-13T23:26:00Z</dcterms:created>
  <dcterms:modified xsi:type="dcterms:W3CDTF">2015-04-13T23:51:00Z</dcterms:modified>
</cp:coreProperties>
</file>