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F6276" w14:textId="77777777" w:rsidR="00847D7B" w:rsidRDefault="00847D7B" w:rsidP="00847D7B">
      <w:pPr>
        <w:jc w:val="center"/>
      </w:pPr>
      <w:r>
        <w:rPr>
          <w:noProof/>
        </w:rPr>
        <w:drawing>
          <wp:inline distT="0" distB="0" distL="0" distR="0" wp14:anchorId="185AFC14" wp14:editId="75854375">
            <wp:extent cx="827513" cy="1074144"/>
            <wp:effectExtent l="0" t="0" r="0" b="5715"/>
            <wp:docPr id="528229559" name="Imagem 1" descr="Uma imagem com desenho, texto, esboço, Impressão em papel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229559" name="Imagem 1" descr="Uma imagem com desenho, texto, esboço, Impressão em papel&#10;&#10;Descrição gerada automaticament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966" cy="1144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102DD" w14:textId="77777777" w:rsidR="00847D7B" w:rsidRDefault="00847D7B" w:rsidP="00847D7B">
      <w:pPr>
        <w:jc w:val="center"/>
      </w:pPr>
      <w:r>
        <w:t>A associação cultural e científica</w:t>
      </w:r>
    </w:p>
    <w:p w14:paraId="39E7A264" w14:textId="77777777" w:rsidR="00847D7B" w:rsidRPr="005F1F88" w:rsidRDefault="00847D7B" w:rsidP="00847D7B">
      <w:pPr>
        <w:jc w:val="center"/>
        <w:rPr>
          <w:b/>
          <w:bCs/>
        </w:rPr>
      </w:pPr>
      <w:r w:rsidRPr="005F1F88">
        <w:rPr>
          <w:b/>
          <w:bCs/>
        </w:rPr>
        <w:t>SOCIEDADE PORTUGUESA DE ANTROPOLOGIA E ETNOLOGIA</w:t>
      </w:r>
      <w:r>
        <w:rPr>
          <w:b/>
          <w:bCs/>
        </w:rPr>
        <w:t xml:space="preserve"> (SPAE)</w:t>
      </w:r>
    </w:p>
    <w:p w14:paraId="064DA276" w14:textId="77777777" w:rsidR="00847D7B" w:rsidRDefault="00847D7B" w:rsidP="00847D7B">
      <w:pPr>
        <w:jc w:val="center"/>
      </w:pPr>
      <w:r>
        <w:t xml:space="preserve">Tem o prazer de anunciar a palestra aberta, por Google </w:t>
      </w:r>
      <w:proofErr w:type="spellStart"/>
      <w:r>
        <w:t>Meet</w:t>
      </w:r>
      <w:proofErr w:type="spellEnd"/>
      <w:r>
        <w:t>, com o link</w:t>
      </w:r>
    </w:p>
    <w:p w14:paraId="16A2EBA6" w14:textId="4DEA9FF2" w:rsidR="00847D7B" w:rsidRDefault="00CB05CE" w:rsidP="00CB05CE">
      <w:pPr>
        <w:jc w:val="center"/>
      </w:pPr>
      <w:hyperlink r:id="rId7" w:tgtFrame="_blank" w:history="1">
        <w:r>
          <w:rPr>
            <w:rStyle w:val="Hiperligao"/>
            <w:rFonts w:ascii="Arial" w:hAnsi="Arial" w:cs="Arial"/>
            <w:color w:val="1155CC"/>
          </w:rPr>
          <w:t>https://meet.google.com/iem-ougi-ffd</w:t>
        </w:r>
      </w:hyperlink>
    </w:p>
    <w:p w14:paraId="0336EF56" w14:textId="15959009" w:rsidR="00847D7B" w:rsidRPr="00C139E1" w:rsidRDefault="00847D7B" w:rsidP="00847D7B">
      <w:pPr>
        <w:jc w:val="center"/>
        <w:rPr>
          <w:b/>
          <w:bCs/>
        </w:rPr>
      </w:pPr>
      <w:r>
        <w:t xml:space="preserve">A realizar no dia </w:t>
      </w:r>
      <w:r>
        <w:rPr>
          <w:b/>
          <w:bCs/>
        </w:rPr>
        <w:t>27</w:t>
      </w:r>
      <w:r w:rsidRPr="00C139E1">
        <w:rPr>
          <w:b/>
          <w:bCs/>
        </w:rPr>
        <w:t xml:space="preserve"> de </w:t>
      </w:r>
      <w:r>
        <w:rPr>
          <w:b/>
          <w:bCs/>
        </w:rPr>
        <w:t>abril</w:t>
      </w:r>
      <w:r w:rsidRPr="00C139E1">
        <w:rPr>
          <w:b/>
          <w:bCs/>
        </w:rPr>
        <w:t xml:space="preserve"> de 202</w:t>
      </w:r>
      <w:r>
        <w:rPr>
          <w:b/>
          <w:bCs/>
        </w:rPr>
        <w:t>6</w:t>
      </w:r>
      <w:r w:rsidRPr="00C139E1">
        <w:rPr>
          <w:b/>
          <w:bCs/>
        </w:rPr>
        <w:t>, às 21,30 h.</w:t>
      </w:r>
      <w:r>
        <w:rPr>
          <w:b/>
          <w:bCs/>
        </w:rPr>
        <w:t xml:space="preserve"> de Lisboa</w:t>
      </w:r>
    </w:p>
    <w:p w14:paraId="6D887A46" w14:textId="66EEAB66" w:rsidR="00847D7B" w:rsidRPr="001D3053" w:rsidRDefault="00847D7B" w:rsidP="00847D7B">
      <w:pPr>
        <w:jc w:val="center"/>
        <w:rPr>
          <w:rFonts w:ascii="Arial" w:hAnsi="Arial" w:cs="Arial"/>
          <w:b/>
          <w:bCs/>
          <w:color w:val="0070C0"/>
          <w:sz w:val="32"/>
          <w:szCs w:val="32"/>
          <w:lang w:val="en-GB"/>
        </w:rPr>
      </w:pPr>
      <w:r w:rsidRPr="001D3053">
        <w:rPr>
          <w:lang w:val="en-GB"/>
        </w:rPr>
        <w:t>por</w:t>
      </w:r>
    </w:p>
    <w:p w14:paraId="5540DADB" w14:textId="4D89F6D5" w:rsidR="00847D7B" w:rsidRPr="001D3053" w:rsidRDefault="00847D7B" w:rsidP="00847D7B">
      <w:pPr>
        <w:spacing w:after="0" w:line="240" w:lineRule="auto"/>
        <w:jc w:val="center"/>
        <w:rPr>
          <w:lang w:val="en-GB"/>
        </w:rPr>
      </w:pPr>
      <w:r w:rsidRPr="001D3053">
        <w:rPr>
          <w:b/>
          <w:bCs/>
          <w:color w:val="A02B93" w:themeColor="accent5"/>
          <w:sz w:val="40"/>
          <w:szCs w:val="40"/>
          <w:lang w:val="en-GB"/>
        </w:rPr>
        <w:t>Francisco Almeida</w:t>
      </w:r>
      <w:r w:rsidRPr="001D3053">
        <w:rPr>
          <w:lang w:val="en-GB"/>
        </w:rPr>
        <w:t>, PhD.</w:t>
      </w:r>
    </w:p>
    <w:p w14:paraId="3418D575" w14:textId="77777777" w:rsidR="00847D7B" w:rsidRPr="001D3053" w:rsidRDefault="00847D7B" w:rsidP="00847D7B">
      <w:pPr>
        <w:spacing w:after="0" w:line="240" w:lineRule="auto"/>
        <w:jc w:val="center"/>
        <w:rPr>
          <w:lang w:val="en-GB"/>
        </w:rPr>
      </w:pPr>
      <w:r w:rsidRPr="001D3053">
        <w:rPr>
          <w:lang w:val="en-GB"/>
        </w:rPr>
        <w:t>RAP Technical Specialist e Heritage Advisor</w:t>
      </w:r>
    </w:p>
    <w:p w14:paraId="37C1B170" w14:textId="77777777" w:rsidR="00847D7B" w:rsidRPr="001D3053" w:rsidRDefault="00847D7B" w:rsidP="00847D7B">
      <w:pPr>
        <w:spacing w:after="0" w:line="240" w:lineRule="auto"/>
        <w:jc w:val="center"/>
        <w:rPr>
          <w:lang w:val="en-GB"/>
        </w:rPr>
      </w:pPr>
      <w:r w:rsidRPr="001D3053">
        <w:rPr>
          <w:lang w:val="en-GB"/>
        </w:rPr>
        <w:t>Barengi Gadjin Land Council Aboriginal Corporation</w:t>
      </w:r>
    </w:p>
    <w:p w14:paraId="6CD0B616" w14:textId="77777777" w:rsidR="00847D7B" w:rsidRPr="001D3053" w:rsidRDefault="00847D7B" w:rsidP="00847D7B">
      <w:pPr>
        <w:jc w:val="center"/>
        <w:rPr>
          <w:lang w:val="en-GB"/>
        </w:rPr>
      </w:pPr>
    </w:p>
    <w:p w14:paraId="2B6AC14E" w14:textId="41E0EC29" w:rsidR="00847D7B" w:rsidRPr="0070313A" w:rsidRDefault="00847D7B" w:rsidP="00847D7B">
      <w:pPr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DE5DF9">
        <w:t>Sobre</w:t>
      </w:r>
    </w:p>
    <w:p w14:paraId="7A24E4EB" w14:textId="678037DD" w:rsidR="00847D7B" w:rsidRPr="00847D7B" w:rsidRDefault="00847D7B" w:rsidP="00847D7B">
      <w:pPr>
        <w:jc w:val="center"/>
        <w:rPr>
          <w:rFonts w:ascii="Calibri" w:hAnsi="Calibri" w:cs="Calibri"/>
          <w:b/>
          <w:bCs/>
          <w:color w:val="7030A0"/>
          <w:sz w:val="32"/>
          <w:szCs w:val="32"/>
        </w:rPr>
      </w:pPr>
      <w:r w:rsidRPr="00847D7B">
        <w:rPr>
          <w:b/>
          <w:bCs/>
          <w:color w:val="7030A0"/>
          <w:sz w:val="32"/>
          <w:szCs w:val="32"/>
        </w:rPr>
        <w:t>A Importância social da ciência arqueológica na Austrália Contemporânea. Reflexões antropológicas sobre o sistema de Gestão do Património Aborígene no Estado de Victoria: herança colonial, resistência, sobrevivência, limites, desafios e perspetivas</w:t>
      </w:r>
    </w:p>
    <w:p w14:paraId="260E2C54" w14:textId="77777777" w:rsidR="00847D7B" w:rsidRDefault="00847D7B" w:rsidP="00847D7B">
      <w:pPr>
        <w:jc w:val="center"/>
        <w:rPr>
          <w:rFonts w:ascii="Calibri" w:hAnsi="Calibri" w:cs="Calibri"/>
          <w:color w:val="000000" w:themeColor="text1"/>
          <w:sz w:val="16"/>
          <w:szCs w:val="16"/>
        </w:rPr>
      </w:pPr>
      <w:r>
        <w:rPr>
          <w:rFonts w:ascii="Calibri" w:hAnsi="Calibri" w:cs="Calibri"/>
          <w:noProof/>
          <w:color w:val="000000" w:themeColor="text1"/>
          <w:sz w:val="16"/>
          <w:szCs w:val="16"/>
        </w:rPr>
        <w:drawing>
          <wp:inline distT="0" distB="0" distL="0" distR="0" wp14:anchorId="0867AE0A" wp14:editId="30A751E0">
            <wp:extent cx="2409544" cy="2301875"/>
            <wp:effectExtent l="0" t="0" r="3810" b="0"/>
            <wp:docPr id="120903544" name="Imagem 1" descr="Uma imagem com texto, escrita à mão, papel, carta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03544" name="Imagem 1" descr="Uma imagem com texto, escrita à mão, papel, carta&#10;&#10;Os conteúdos gerados por IA podem estar incorretos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7439" cy="2414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B25DB" w14:textId="06E7D694" w:rsidR="00847D7B" w:rsidRPr="00847D7B" w:rsidRDefault="00847D7B" w:rsidP="00847D7B">
      <w:pPr>
        <w:jc w:val="center"/>
        <w:rPr>
          <w:rFonts w:ascii="Calibri" w:hAnsi="Calibri" w:cs="Calibri"/>
          <w:color w:val="000000" w:themeColor="text1"/>
          <w:sz w:val="16"/>
          <w:szCs w:val="16"/>
        </w:rPr>
      </w:pPr>
      <w:r>
        <w:rPr>
          <w:rFonts w:ascii="Calibri" w:hAnsi="Calibri" w:cs="Calibri"/>
          <w:color w:val="000000" w:themeColor="text1"/>
          <w:sz w:val="16"/>
          <w:szCs w:val="16"/>
        </w:rPr>
        <w:t>Imagem enviada pelo autor</w:t>
      </w:r>
    </w:p>
    <w:p w14:paraId="1D7C721D" w14:textId="77777777" w:rsidR="00847D7B" w:rsidRDefault="00847D7B" w:rsidP="00847D7B">
      <w:pPr>
        <w:jc w:val="both"/>
        <w:rPr>
          <w:b/>
          <w:bCs/>
          <w:color w:val="80340D" w:themeColor="accent2" w:themeShade="80"/>
          <w:sz w:val="28"/>
          <w:szCs w:val="28"/>
        </w:rPr>
      </w:pPr>
    </w:p>
    <w:p w14:paraId="2F1BE6C1" w14:textId="2D89E0A9" w:rsidR="00847D7B" w:rsidRPr="005C6E0F" w:rsidRDefault="00847D7B" w:rsidP="00847D7B">
      <w:pPr>
        <w:jc w:val="both"/>
        <w:rPr>
          <w:b/>
          <w:bCs/>
          <w:color w:val="80340D" w:themeColor="accent2" w:themeShade="80"/>
          <w:sz w:val="28"/>
          <w:szCs w:val="28"/>
        </w:rPr>
      </w:pPr>
      <w:r w:rsidRPr="005C6E0F">
        <w:rPr>
          <w:b/>
          <w:bCs/>
          <w:color w:val="80340D" w:themeColor="accent2" w:themeShade="80"/>
          <w:sz w:val="28"/>
          <w:szCs w:val="28"/>
        </w:rPr>
        <w:lastRenderedPageBreak/>
        <w:t>Resumo</w:t>
      </w:r>
    </w:p>
    <w:p w14:paraId="717BAD7F" w14:textId="0A6631A4" w:rsidR="00847D7B" w:rsidRDefault="00847D7B" w:rsidP="00847D7B">
      <w:pPr>
        <w:jc w:val="both"/>
      </w:pPr>
      <w:r>
        <w:t>15 anos de experiência profissional na gestão do património cultural Aborígene, e nomeadamente na área especifica do património arqueológico - em</w:t>
      </w:r>
      <w:r w:rsidRPr="00035322">
        <w:t xml:space="preserve"> instituições governamentais, instituições </w:t>
      </w:r>
      <w:r>
        <w:t>A</w:t>
      </w:r>
      <w:r w:rsidRPr="00035322">
        <w:t xml:space="preserve">borígenes, </w:t>
      </w:r>
      <w:r>
        <w:t>e A</w:t>
      </w:r>
      <w:r w:rsidRPr="00035322">
        <w:t>rqueologia</w:t>
      </w:r>
      <w:r>
        <w:t xml:space="preserve"> Empresarial – autorizam uma perspetiva alargada e crítica acerca do sistema de Gestão do Património Cultural Aborígene no Estado de Victoria. </w:t>
      </w:r>
    </w:p>
    <w:p w14:paraId="30BBE649" w14:textId="64CACC92" w:rsidR="00847D7B" w:rsidRDefault="00847D7B" w:rsidP="00847D7B">
      <w:pPr>
        <w:jc w:val="both"/>
      </w:pPr>
      <w:r>
        <w:t>Procuraremos demonstrar como se trata de um sistema essencialmente burocrático e preso a rotinas, que amiúde falha em perceber a importância social da Arqueologia enquanto ciência, nomeadamente no que pode trazer ou acrescentar às aspirações e desafios das comunidades Aborígenes atuais. Nesta palestra discutiremos alguns aspetos da historiografia da atividade arqueológica e antropológica desde os primórdios da invasão/</w:t>
      </w:r>
      <w:r w:rsidR="006E441D">
        <w:t>colonização</w:t>
      </w:r>
      <w:r>
        <w:t xml:space="preserve"> do Sudeste Australiano, e como, ainda hoje, tendências colonialistas teimam em dominar a gestão do património em Victoria.</w:t>
      </w:r>
    </w:p>
    <w:p w14:paraId="587795AC" w14:textId="77777777" w:rsidR="00847D7B" w:rsidRPr="0097046E" w:rsidRDefault="00847D7B" w:rsidP="00847D7B">
      <w:pPr>
        <w:jc w:val="both"/>
        <w:rPr>
          <w:sz w:val="28"/>
          <w:szCs w:val="28"/>
        </w:rPr>
      </w:pPr>
    </w:p>
    <w:p w14:paraId="7EB5BAF3" w14:textId="77777777" w:rsidR="00847D7B" w:rsidRPr="005C6E0F" w:rsidRDefault="00847D7B" w:rsidP="00847D7B">
      <w:pPr>
        <w:jc w:val="both"/>
        <w:rPr>
          <w:b/>
          <w:bCs/>
          <w:color w:val="80340D" w:themeColor="accent2" w:themeShade="80"/>
          <w:sz w:val="28"/>
          <w:szCs w:val="28"/>
        </w:rPr>
      </w:pPr>
      <w:r w:rsidRPr="005C6E0F">
        <w:rPr>
          <w:b/>
          <w:bCs/>
          <w:color w:val="80340D" w:themeColor="accent2" w:themeShade="80"/>
          <w:sz w:val="28"/>
          <w:szCs w:val="28"/>
        </w:rPr>
        <w:t>Nota biográfica</w:t>
      </w:r>
    </w:p>
    <w:p w14:paraId="1986E23C" w14:textId="77777777" w:rsidR="00847D7B" w:rsidRPr="00847D7B" w:rsidRDefault="00847D7B" w:rsidP="00847D7B">
      <w:pPr>
        <w:jc w:val="both"/>
        <w:rPr>
          <w:sz w:val="20"/>
          <w:szCs w:val="20"/>
        </w:rPr>
      </w:pPr>
      <w:r w:rsidRPr="00847D7B">
        <w:rPr>
          <w:sz w:val="20"/>
          <w:szCs w:val="20"/>
        </w:rPr>
        <w:t xml:space="preserve">Francisco Almeida é um arqueólogo com mais de três décadas de experiência profissional em investigação arqueológica e gestão do património cultural. Doutorado em Arqueologia pela Southern </w:t>
      </w:r>
      <w:proofErr w:type="spellStart"/>
      <w:r w:rsidRPr="00847D7B">
        <w:rPr>
          <w:sz w:val="20"/>
          <w:szCs w:val="20"/>
        </w:rPr>
        <w:t>Methodist</w:t>
      </w:r>
      <w:proofErr w:type="spellEnd"/>
      <w:r w:rsidRPr="00847D7B">
        <w:rPr>
          <w:sz w:val="20"/>
          <w:szCs w:val="20"/>
        </w:rPr>
        <w:t xml:space="preserve"> </w:t>
      </w:r>
      <w:proofErr w:type="spellStart"/>
      <w:r w:rsidRPr="00847D7B">
        <w:rPr>
          <w:sz w:val="20"/>
          <w:szCs w:val="20"/>
        </w:rPr>
        <w:t>University</w:t>
      </w:r>
      <w:proofErr w:type="spellEnd"/>
      <w:r w:rsidRPr="00847D7B">
        <w:rPr>
          <w:sz w:val="20"/>
          <w:szCs w:val="20"/>
        </w:rPr>
        <w:t xml:space="preserve"> (Estados Unidos) em 2000, liderou e participou em vários projetos de investigação multidisciplinares dedicados ao estudo da arqueologia do Pleistoceno Superior e do início do Holoceno em Portugal, entre 1992 e 2010, com particular enfoque em contextos de grutas e abrigos sob rocha.</w:t>
      </w:r>
    </w:p>
    <w:p w14:paraId="66A1C62D" w14:textId="636498B7" w:rsidR="00847D7B" w:rsidRPr="00847D7B" w:rsidRDefault="00847D7B" w:rsidP="00847D7B">
      <w:pPr>
        <w:jc w:val="both"/>
        <w:rPr>
          <w:sz w:val="20"/>
          <w:szCs w:val="20"/>
        </w:rPr>
      </w:pPr>
      <w:r w:rsidRPr="00847D7B">
        <w:rPr>
          <w:sz w:val="20"/>
          <w:szCs w:val="20"/>
        </w:rPr>
        <w:t xml:space="preserve">O seu trabalho incluiu a coordenação de projetos de grande escala, como o estudo das ocupações paleolíticas e </w:t>
      </w:r>
      <w:proofErr w:type="spellStart"/>
      <w:r w:rsidRPr="00847D7B">
        <w:rPr>
          <w:sz w:val="20"/>
          <w:szCs w:val="20"/>
        </w:rPr>
        <w:t>epipaleol</w:t>
      </w:r>
      <w:r>
        <w:rPr>
          <w:sz w:val="20"/>
          <w:szCs w:val="20"/>
        </w:rPr>
        <w:t>í</w:t>
      </w:r>
      <w:r w:rsidRPr="00847D7B">
        <w:rPr>
          <w:sz w:val="20"/>
          <w:szCs w:val="20"/>
        </w:rPr>
        <w:t>ticas</w:t>
      </w:r>
      <w:proofErr w:type="spellEnd"/>
      <w:r w:rsidRPr="00847D7B">
        <w:rPr>
          <w:sz w:val="20"/>
          <w:szCs w:val="20"/>
        </w:rPr>
        <w:t xml:space="preserve"> na área da barragem do Alqueva e a investigação no abrigo do Lagar Velho, entre 2000 e 2009. Autor de mais de 40 publicações e participante em numerosos congressos internacionais, a sua investigação abrange áreas como a tecnologia lítica, a paleoecologia humana, a análise espacial de contextos arqueológicos, bem como a introdução e aplicação de metodologias inovadoras como as remontagens líticas ou a fotogrametria como método para o registo tridimensional de contextos arqueológicos.</w:t>
      </w:r>
    </w:p>
    <w:p w14:paraId="673C96E5" w14:textId="45B05CA0" w:rsidR="00847D7B" w:rsidRPr="00847D7B" w:rsidRDefault="00847D7B" w:rsidP="00847D7B">
      <w:pPr>
        <w:jc w:val="both"/>
        <w:rPr>
          <w:sz w:val="20"/>
          <w:szCs w:val="20"/>
        </w:rPr>
      </w:pPr>
      <w:r w:rsidRPr="00847D7B">
        <w:rPr>
          <w:sz w:val="20"/>
          <w:szCs w:val="20"/>
        </w:rPr>
        <w:t>Desde 2011 trabalha no Estado de Victoria, Austrália, na área da gestão do património cultural, colaborando estreitamente com comunidades Aborígenes e instituições governamentais no estudo, proteção e divulgação do património cultural indígena, bem como no desenvolvimento de iniciativas de formação no âmbito do património.</w:t>
      </w:r>
    </w:p>
    <w:p w14:paraId="1A75B446" w14:textId="0A206303" w:rsidR="00847D7B" w:rsidRPr="00847D7B" w:rsidRDefault="00847D7B" w:rsidP="00847D7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É </w:t>
      </w:r>
      <w:r w:rsidRPr="00847D7B">
        <w:rPr>
          <w:sz w:val="20"/>
          <w:szCs w:val="20"/>
        </w:rPr>
        <w:t xml:space="preserve">actualmente </w:t>
      </w:r>
      <w:proofErr w:type="spellStart"/>
      <w:r w:rsidRPr="00847D7B">
        <w:rPr>
          <w:sz w:val="20"/>
          <w:szCs w:val="20"/>
        </w:rPr>
        <w:t>Technical</w:t>
      </w:r>
      <w:proofErr w:type="spellEnd"/>
      <w:r w:rsidRPr="00847D7B">
        <w:rPr>
          <w:sz w:val="20"/>
          <w:szCs w:val="20"/>
        </w:rPr>
        <w:t xml:space="preserve"> </w:t>
      </w:r>
      <w:proofErr w:type="spellStart"/>
      <w:r w:rsidRPr="00847D7B">
        <w:rPr>
          <w:sz w:val="20"/>
          <w:szCs w:val="20"/>
        </w:rPr>
        <w:t>Specialist</w:t>
      </w:r>
      <w:proofErr w:type="spellEnd"/>
      <w:r w:rsidRPr="00847D7B">
        <w:rPr>
          <w:sz w:val="20"/>
          <w:szCs w:val="20"/>
        </w:rPr>
        <w:t xml:space="preserve"> e </w:t>
      </w:r>
      <w:proofErr w:type="spellStart"/>
      <w:r w:rsidRPr="00847D7B">
        <w:rPr>
          <w:sz w:val="20"/>
          <w:szCs w:val="20"/>
        </w:rPr>
        <w:t>Heritage</w:t>
      </w:r>
      <w:proofErr w:type="spellEnd"/>
      <w:r w:rsidRPr="00847D7B">
        <w:rPr>
          <w:sz w:val="20"/>
          <w:szCs w:val="20"/>
        </w:rPr>
        <w:t xml:space="preserve"> </w:t>
      </w:r>
      <w:proofErr w:type="spellStart"/>
      <w:r w:rsidRPr="00847D7B">
        <w:rPr>
          <w:sz w:val="20"/>
          <w:szCs w:val="20"/>
        </w:rPr>
        <w:t>Advisor</w:t>
      </w:r>
      <w:proofErr w:type="spellEnd"/>
      <w:r w:rsidRPr="00847D7B">
        <w:rPr>
          <w:sz w:val="20"/>
          <w:szCs w:val="20"/>
        </w:rPr>
        <w:t xml:space="preserve"> para o </w:t>
      </w:r>
      <w:proofErr w:type="spellStart"/>
      <w:r w:rsidRPr="00847D7B">
        <w:rPr>
          <w:sz w:val="20"/>
          <w:szCs w:val="20"/>
        </w:rPr>
        <w:t>Barengi</w:t>
      </w:r>
      <w:proofErr w:type="spellEnd"/>
      <w:r w:rsidRPr="00847D7B">
        <w:rPr>
          <w:sz w:val="20"/>
          <w:szCs w:val="20"/>
        </w:rPr>
        <w:t xml:space="preserve"> </w:t>
      </w:r>
      <w:proofErr w:type="spellStart"/>
      <w:r w:rsidRPr="00847D7B">
        <w:rPr>
          <w:sz w:val="20"/>
          <w:szCs w:val="20"/>
        </w:rPr>
        <w:t>Gadjin</w:t>
      </w:r>
      <w:proofErr w:type="spellEnd"/>
      <w:r w:rsidRPr="00847D7B">
        <w:rPr>
          <w:sz w:val="20"/>
          <w:szCs w:val="20"/>
        </w:rPr>
        <w:t xml:space="preserve"> Land </w:t>
      </w:r>
      <w:proofErr w:type="spellStart"/>
      <w:r w:rsidRPr="00847D7B">
        <w:rPr>
          <w:sz w:val="20"/>
          <w:szCs w:val="20"/>
        </w:rPr>
        <w:t>Council</w:t>
      </w:r>
      <w:proofErr w:type="spellEnd"/>
      <w:r w:rsidRPr="00847D7B">
        <w:rPr>
          <w:sz w:val="20"/>
          <w:szCs w:val="20"/>
        </w:rPr>
        <w:t xml:space="preserve"> – Um dos </w:t>
      </w:r>
      <w:proofErr w:type="spellStart"/>
      <w:r w:rsidRPr="00847D7B">
        <w:rPr>
          <w:sz w:val="20"/>
          <w:szCs w:val="20"/>
        </w:rPr>
        <w:t>Registered</w:t>
      </w:r>
      <w:proofErr w:type="spellEnd"/>
      <w:r w:rsidRPr="00847D7B">
        <w:rPr>
          <w:sz w:val="20"/>
          <w:szCs w:val="20"/>
        </w:rPr>
        <w:t xml:space="preserve"> </w:t>
      </w:r>
      <w:proofErr w:type="spellStart"/>
      <w:r w:rsidRPr="00847D7B">
        <w:rPr>
          <w:sz w:val="20"/>
          <w:szCs w:val="20"/>
        </w:rPr>
        <w:t>Aboriginal</w:t>
      </w:r>
      <w:proofErr w:type="spellEnd"/>
      <w:r w:rsidRPr="00847D7B">
        <w:rPr>
          <w:sz w:val="20"/>
          <w:szCs w:val="20"/>
        </w:rPr>
        <w:t xml:space="preserve"> </w:t>
      </w:r>
      <w:proofErr w:type="spellStart"/>
      <w:r w:rsidRPr="00847D7B">
        <w:rPr>
          <w:sz w:val="20"/>
          <w:szCs w:val="20"/>
        </w:rPr>
        <w:t>Parties</w:t>
      </w:r>
      <w:proofErr w:type="spellEnd"/>
      <w:r w:rsidRPr="00847D7B">
        <w:rPr>
          <w:sz w:val="20"/>
          <w:szCs w:val="20"/>
        </w:rPr>
        <w:t xml:space="preserve"> (RAP) do Estado de Victoria – com responsabilidades de </w:t>
      </w:r>
      <w:r w:rsidR="006E441D" w:rsidRPr="00847D7B">
        <w:rPr>
          <w:sz w:val="20"/>
          <w:szCs w:val="20"/>
        </w:rPr>
        <w:t>gestão</w:t>
      </w:r>
      <w:r w:rsidRPr="00847D7B">
        <w:rPr>
          <w:sz w:val="20"/>
          <w:szCs w:val="20"/>
        </w:rPr>
        <w:t xml:space="preserve"> do </w:t>
      </w:r>
      <w:r w:rsidR="006E441D" w:rsidRPr="00847D7B">
        <w:rPr>
          <w:sz w:val="20"/>
          <w:szCs w:val="20"/>
        </w:rPr>
        <w:t>património</w:t>
      </w:r>
      <w:r w:rsidRPr="00847D7B">
        <w:rPr>
          <w:sz w:val="20"/>
          <w:szCs w:val="20"/>
        </w:rPr>
        <w:t xml:space="preserve"> material e imaterial numa </w:t>
      </w:r>
      <w:r w:rsidR="006E441D" w:rsidRPr="00847D7B">
        <w:rPr>
          <w:sz w:val="20"/>
          <w:szCs w:val="20"/>
        </w:rPr>
        <w:t>área</w:t>
      </w:r>
      <w:r w:rsidRPr="00847D7B">
        <w:rPr>
          <w:sz w:val="20"/>
          <w:szCs w:val="20"/>
        </w:rPr>
        <w:t xml:space="preserve"> de </w:t>
      </w:r>
      <w:r w:rsidR="006E441D" w:rsidRPr="00847D7B">
        <w:rPr>
          <w:sz w:val="20"/>
          <w:szCs w:val="20"/>
        </w:rPr>
        <w:t>aproximadamente</w:t>
      </w:r>
      <w:r w:rsidRPr="00847D7B">
        <w:rPr>
          <w:sz w:val="20"/>
          <w:szCs w:val="20"/>
        </w:rPr>
        <w:t xml:space="preserve"> 36.000km quadrados.</w:t>
      </w:r>
    </w:p>
    <w:p w14:paraId="40CF7569" w14:textId="77777777" w:rsidR="00847D7B" w:rsidRPr="00847D7B" w:rsidRDefault="00847D7B" w:rsidP="00847D7B">
      <w:pPr>
        <w:jc w:val="both"/>
        <w:rPr>
          <w:sz w:val="20"/>
          <w:szCs w:val="20"/>
        </w:rPr>
      </w:pPr>
    </w:p>
    <w:p w14:paraId="3A0A081B" w14:textId="77777777" w:rsidR="00847D7B" w:rsidRDefault="00847D7B"/>
    <w:sectPr w:rsidR="00847D7B"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5FC53" w14:textId="77777777" w:rsidR="00566AA4" w:rsidRDefault="00566AA4" w:rsidP="00847D7B">
      <w:pPr>
        <w:spacing w:after="0" w:line="240" w:lineRule="auto"/>
      </w:pPr>
      <w:r>
        <w:separator/>
      </w:r>
    </w:p>
  </w:endnote>
  <w:endnote w:type="continuationSeparator" w:id="0">
    <w:p w14:paraId="5F47B0AB" w14:textId="77777777" w:rsidR="00566AA4" w:rsidRDefault="00566AA4" w:rsidP="00847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974682690"/>
      <w:docPartObj>
        <w:docPartGallery w:val="Page Numbers (Bottom of Page)"/>
        <w:docPartUnique/>
      </w:docPartObj>
    </w:sdtPr>
    <w:sdtContent>
      <w:p w14:paraId="364A18F5" w14:textId="11BB8BEE" w:rsidR="00847D7B" w:rsidRDefault="00847D7B" w:rsidP="00274262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1942E4A4" w14:textId="77777777" w:rsidR="00847D7B" w:rsidRDefault="00847D7B" w:rsidP="00847D7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2100173821"/>
      <w:docPartObj>
        <w:docPartGallery w:val="Page Numbers (Bottom of Page)"/>
        <w:docPartUnique/>
      </w:docPartObj>
    </w:sdtPr>
    <w:sdtContent>
      <w:p w14:paraId="3BA6CDB5" w14:textId="66672BAE" w:rsidR="00847D7B" w:rsidRDefault="00847D7B" w:rsidP="00274262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6F0C0849" w14:textId="77777777" w:rsidR="00847D7B" w:rsidRDefault="00847D7B" w:rsidP="00847D7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538B8" w14:textId="77777777" w:rsidR="00566AA4" w:rsidRDefault="00566AA4" w:rsidP="00847D7B">
      <w:pPr>
        <w:spacing w:after="0" w:line="240" w:lineRule="auto"/>
      </w:pPr>
      <w:r>
        <w:separator/>
      </w:r>
    </w:p>
  </w:footnote>
  <w:footnote w:type="continuationSeparator" w:id="0">
    <w:p w14:paraId="2E693D5E" w14:textId="77777777" w:rsidR="00566AA4" w:rsidRDefault="00566AA4" w:rsidP="00847D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D7B"/>
    <w:rsid w:val="00043471"/>
    <w:rsid w:val="00132D6C"/>
    <w:rsid w:val="001D3053"/>
    <w:rsid w:val="002D777C"/>
    <w:rsid w:val="00566AA4"/>
    <w:rsid w:val="0063223B"/>
    <w:rsid w:val="00664D90"/>
    <w:rsid w:val="006B636B"/>
    <w:rsid w:val="006E441D"/>
    <w:rsid w:val="0082300C"/>
    <w:rsid w:val="00847D7B"/>
    <w:rsid w:val="00962200"/>
    <w:rsid w:val="00A158EA"/>
    <w:rsid w:val="00AF7AAE"/>
    <w:rsid w:val="00CB05CE"/>
    <w:rsid w:val="00DB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DBF42"/>
  <w15:chartTrackingRefBased/>
  <w15:docId w15:val="{D68DE01D-DD1A-9149-8B8D-433126CF2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7D7B"/>
  </w:style>
  <w:style w:type="paragraph" w:styleId="Ttulo1">
    <w:name w:val="heading 1"/>
    <w:basedOn w:val="Normal"/>
    <w:next w:val="Normal"/>
    <w:link w:val="Ttulo1Carter"/>
    <w:uiPriority w:val="9"/>
    <w:qFormat/>
    <w:rsid w:val="00847D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847D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847D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847D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847D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847D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847D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847D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847D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847D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847D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847D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847D7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847D7B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847D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847D7B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847D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847D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847D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847D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847D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847D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847D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847D7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47D7B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847D7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847D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847D7B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847D7B"/>
    <w:rPr>
      <w:b/>
      <w:bCs/>
      <w:smallCaps/>
      <w:color w:val="0F4761" w:themeColor="accent1" w:themeShade="BF"/>
      <w:spacing w:val="5"/>
    </w:rPr>
  </w:style>
  <w:style w:type="paragraph" w:styleId="Rodap">
    <w:name w:val="footer"/>
    <w:basedOn w:val="Normal"/>
    <w:link w:val="RodapCarter"/>
    <w:uiPriority w:val="99"/>
    <w:unhideWhenUsed/>
    <w:rsid w:val="00847D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847D7B"/>
  </w:style>
  <w:style w:type="character" w:styleId="Nmerodepgina">
    <w:name w:val="page number"/>
    <w:basedOn w:val="Tipodeletrapredefinidodopargrafo"/>
    <w:uiPriority w:val="99"/>
    <w:semiHidden/>
    <w:unhideWhenUsed/>
    <w:rsid w:val="00847D7B"/>
  </w:style>
  <w:style w:type="character" w:styleId="Hiperligao">
    <w:name w:val="Hyperlink"/>
    <w:basedOn w:val="Tipodeletrapredefinidodopargrafo"/>
    <w:uiPriority w:val="99"/>
    <w:unhideWhenUsed/>
    <w:rsid w:val="00CB05C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meet.google.com/iem-ougi-ff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 oliveira</dc:creator>
  <cp:keywords/>
  <dc:description/>
  <cp:lastModifiedBy>Jose Encarnacao</cp:lastModifiedBy>
  <cp:revision>2</cp:revision>
  <dcterms:created xsi:type="dcterms:W3CDTF">2026-04-24T15:29:00Z</dcterms:created>
  <dcterms:modified xsi:type="dcterms:W3CDTF">2026-04-24T15:29:00Z</dcterms:modified>
</cp:coreProperties>
</file>